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259D" w14:textId="77777777" w:rsidR="00E16FE7" w:rsidRDefault="00E16FE7" w:rsidP="00E16FE7">
      <w:pPr>
        <w:jc w:val="both"/>
        <w:rPr>
          <w:rFonts w:asciiTheme="minorHAnsi" w:hAnsiTheme="minorHAnsi"/>
          <w:b/>
          <w:sz w:val="28"/>
          <w:szCs w:val="28"/>
        </w:rPr>
      </w:pPr>
      <w:r w:rsidRPr="00E57854">
        <w:rPr>
          <w:rFonts w:asciiTheme="minorHAnsi" w:hAnsiTheme="minorHAnsi"/>
          <w:b/>
          <w:sz w:val="28"/>
          <w:szCs w:val="28"/>
        </w:rPr>
        <w:t>PERIODIEKE VERGOEDINGEN VOOR TRANSPORT</w:t>
      </w:r>
    </w:p>
    <w:p w14:paraId="7EC1A49D" w14:textId="218E04D7" w:rsidR="00E16FE7" w:rsidRPr="00E57854" w:rsidRDefault="00CA4372" w:rsidP="00E16FE7">
      <w:pPr>
        <w:jc w:val="both"/>
        <w:rPr>
          <w:rFonts w:asciiTheme="minorHAnsi" w:hAnsiTheme="minorHAnsi"/>
          <w:b/>
          <w:sz w:val="28"/>
          <w:szCs w:val="28"/>
        </w:rPr>
      </w:pPr>
      <w:r>
        <w:rPr>
          <w:rFonts w:asciiTheme="minorHAnsi" w:hAnsiTheme="minorHAnsi"/>
          <w:b/>
          <w:sz w:val="28"/>
          <w:szCs w:val="28"/>
        </w:rPr>
        <w:t xml:space="preserve">ELEKTRICITEIT GROOTVERBRUIK </w:t>
      </w:r>
      <w:r w:rsidR="007B4930">
        <w:rPr>
          <w:rFonts w:asciiTheme="minorHAnsi" w:hAnsiTheme="minorHAnsi"/>
          <w:b/>
          <w:sz w:val="28"/>
          <w:szCs w:val="28"/>
        </w:rPr>
        <w:t>202</w:t>
      </w:r>
      <w:r w:rsidR="003135F4">
        <w:rPr>
          <w:rFonts w:asciiTheme="minorHAnsi" w:hAnsiTheme="minorHAnsi"/>
          <w:b/>
          <w:sz w:val="28"/>
          <w:szCs w:val="28"/>
        </w:rPr>
        <w:t>2</w:t>
      </w:r>
    </w:p>
    <w:p w14:paraId="65D51E28" w14:textId="77777777" w:rsidR="00E16FE7" w:rsidRPr="00E57854" w:rsidRDefault="00E16FE7" w:rsidP="00E16FE7">
      <w:pPr>
        <w:jc w:val="both"/>
        <w:rPr>
          <w:rFonts w:asciiTheme="minorHAnsi" w:hAnsiTheme="minorHAnsi"/>
          <w:sz w:val="22"/>
          <w:szCs w:val="22"/>
        </w:rPr>
      </w:pPr>
    </w:p>
    <w:p w14:paraId="3BF2DFF0" w14:textId="77777777" w:rsidR="00E16FE7" w:rsidRPr="00E57854" w:rsidRDefault="00E16FE7" w:rsidP="00E16FE7">
      <w:pPr>
        <w:pStyle w:val="Lijstalinea"/>
        <w:numPr>
          <w:ilvl w:val="0"/>
          <w:numId w:val="19"/>
        </w:numPr>
        <w:contextualSpacing/>
        <w:jc w:val="both"/>
        <w:rPr>
          <w:rFonts w:asciiTheme="minorHAnsi" w:hAnsiTheme="minorHAnsi"/>
          <w:b/>
          <w:sz w:val="22"/>
          <w:szCs w:val="22"/>
          <w:u w:val="single"/>
        </w:rPr>
      </w:pPr>
      <w:r w:rsidRPr="00E57854">
        <w:rPr>
          <w:rFonts w:asciiTheme="minorHAnsi" w:hAnsiTheme="minorHAnsi"/>
          <w:b/>
          <w:sz w:val="22"/>
          <w:szCs w:val="22"/>
          <w:u w:val="single"/>
        </w:rPr>
        <w:t>Aansluiting LS (LS deelmarktgrens van &gt; 3x80A t/m 3x225A)</w:t>
      </w:r>
    </w:p>
    <w:p w14:paraId="6F85DA3E" w14:textId="77777777" w:rsidR="00E16FE7" w:rsidRPr="00E57854" w:rsidRDefault="00E16FE7" w:rsidP="00E16FE7">
      <w:pPr>
        <w:jc w:val="both"/>
        <w:rPr>
          <w:rFonts w:asciiTheme="minorHAnsi" w:hAnsiTheme="minorHAnsi"/>
          <w:sz w:val="22"/>
          <w:szCs w:val="22"/>
        </w:rPr>
      </w:pPr>
    </w:p>
    <w:tbl>
      <w:tblPr>
        <w:tblW w:w="0" w:type="auto"/>
        <w:tblLook w:val="04A0" w:firstRow="1" w:lastRow="0" w:firstColumn="1" w:lastColumn="0" w:noHBand="0" w:noVBand="1"/>
      </w:tblPr>
      <w:tblGrid>
        <w:gridCol w:w="5778"/>
        <w:gridCol w:w="2668"/>
      </w:tblGrid>
      <w:tr w:rsidR="00E16FE7" w:rsidRPr="00E57854" w14:paraId="38F5B883" w14:textId="77777777" w:rsidTr="00CE3A41">
        <w:tc>
          <w:tcPr>
            <w:tcW w:w="5778" w:type="dxa"/>
            <w:tcBorders>
              <w:bottom w:val="single" w:sz="4" w:space="0" w:color="auto"/>
              <w:right w:val="single" w:sz="4" w:space="0" w:color="auto"/>
            </w:tcBorders>
          </w:tcPr>
          <w:p w14:paraId="7D12777A" w14:textId="77777777" w:rsidR="00E16FE7" w:rsidRPr="00E57854" w:rsidRDefault="00E16FE7" w:rsidP="00CE3A41">
            <w:pPr>
              <w:jc w:val="both"/>
              <w:rPr>
                <w:rFonts w:asciiTheme="minorHAnsi" w:hAnsiTheme="minorHAnsi"/>
                <w:b/>
                <w:sz w:val="22"/>
                <w:szCs w:val="22"/>
              </w:rPr>
            </w:pPr>
            <w:r w:rsidRPr="00E57854">
              <w:rPr>
                <w:rFonts w:asciiTheme="minorHAnsi" w:hAnsiTheme="minorHAnsi"/>
                <w:b/>
                <w:sz w:val="22"/>
                <w:szCs w:val="22"/>
              </w:rPr>
              <w:t>Wat</w:t>
            </w:r>
          </w:p>
        </w:tc>
        <w:tc>
          <w:tcPr>
            <w:tcW w:w="2668" w:type="dxa"/>
            <w:tcBorders>
              <w:left w:val="single" w:sz="4" w:space="0" w:color="auto"/>
              <w:bottom w:val="single" w:sz="4" w:space="0" w:color="auto"/>
            </w:tcBorders>
          </w:tcPr>
          <w:p w14:paraId="487E865F" w14:textId="77777777" w:rsidR="00E16FE7" w:rsidRPr="00E57854" w:rsidRDefault="00E16FE7" w:rsidP="00CE3A41">
            <w:pPr>
              <w:jc w:val="both"/>
              <w:rPr>
                <w:rFonts w:asciiTheme="minorHAnsi" w:hAnsiTheme="minorHAnsi"/>
                <w:b/>
                <w:sz w:val="22"/>
                <w:szCs w:val="22"/>
              </w:rPr>
            </w:pPr>
            <w:r w:rsidRPr="00E57854">
              <w:rPr>
                <w:rFonts w:asciiTheme="minorHAnsi" w:hAnsiTheme="minorHAnsi"/>
                <w:b/>
                <w:sz w:val="22"/>
                <w:szCs w:val="22"/>
              </w:rPr>
              <w:t>Bedrag (excl. 21% BTW)</w:t>
            </w:r>
          </w:p>
        </w:tc>
      </w:tr>
      <w:tr w:rsidR="00D50051" w:rsidRPr="00E57854" w14:paraId="7974E151" w14:textId="77777777" w:rsidTr="00CE3A41">
        <w:tc>
          <w:tcPr>
            <w:tcW w:w="5778" w:type="dxa"/>
            <w:tcBorders>
              <w:top w:val="single" w:sz="4" w:space="0" w:color="auto"/>
              <w:bottom w:val="single" w:sz="4" w:space="0" w:color="auto"/>
              <w:right w:val="single" w:sz="4" w:space="0" w:color="auto"/>
            </w:tcBorders>
          </w:tcPr>
          <w:p w14:paraId="45B456CD" w14:textId="77777777" w:rsidR="00D50051" w:rsidRPr="00E57854" w:rsidRDefault="00D50051" w:rsidP="00D50051">
            <w:pPr>
              <w:jc w:val="both"/>
              <w:rPr>
                <w:rFonts w:asciiTheme="minorHAnsi" w:hAnsiTheme="minorHAnsi"/>
                <w:sz w:val="22"/>
                <w:szCs w:val="22"/>
              </w:rPr>
            </w:pPr>
            <w:r w:rsidRPr="00E57854">
              <w:rPr>
                <w:rFonts w:asciiTheme="minorHAnsi" w:hAnsiTheme="minorHAnsi"/>
                <w:sz w:val="22"/>
                <w:szCs w:val="22"/>
              </w:rPr>
              <w:t>Transportonafhankelijk tarief (vastrecht) per jaar</w:t>
            </w:r>
          </w:p>
        </w:tc>
        <w:tc>
          <w:tcPr>
            <w:tcW w:w="2668" w:type="dxa"/>
            <w:tcBorders>
              <w:top w:val="single" w:sz="4" w:space="0" w:color="auto"/>
              <w:left w:val="single" w:sz="4" w:space="0" w:color="auto"/>
              <w:bottom w:val="single" w:sz="4" w:space="0" w:color="auto"/>
            </w:tcBorders>
          </w:tcPr>
          <w:p w14:paraId="3272CED0" w14:textId="77777777" w:rsidR="00D50051" w:rsidRPr="00E57854" w:rsidRDefault="00D50051" w:rsidP="00D50051">
            <w:pPr>
              <w:jc w:val="right"/>
              <w:rPr>
                <w:rFonts w:asciiTheme="minorHAnsi" w:hAnsiTheme="minorHAnsi"/>
                <w:sz w:val="22"/>
                <w:szCs w:val="22"/>
              </w:rPr>
            </w:pPr>
            <w:r w:rsidRPr="00E57854">
              <w:rPr>
                <w:rFonts w:asciiTheme="minorHAnsi" w:hAnsiTheme="minorHAnsi"/>
                <w:sz w:val="22"/>
                <w:szCs w:val="22"/>
              </w:rPr>
              <w:t>€ 18,0000</w:t>
            </w:r>
          </w:p>
        </w:tc>
      </w:tr>
      <w:tr w:rsidR="00D50051" w:rsidRPr="00E57854" w14:paraId="2F529C81" w14:textId="77777777" w:rsidTr="00CE3A41">
        <w:tc>
          <w:tcPr>
            <w:tcW w:w="5778" w:type="dxa"/>
            <w:tcBorders>
              <w:top w:val="single" w:sz="4" w:space="0" w:color="auto"/>
              <w:bottom w:val="single" w:sz="4" w:space="0" w:color="auto"/>
              <w:right w:val="single" w:sz="4" w:space="0" w:color="auto"/>
            </w:tcBorders>
          </w:tcPr>
          <w:p w14:paraId="13F4E5E0" w14:textId="77777777" w:rsidR="00D50051" w:rsidRPr="00E57854" w:rsidRDefault="00D50051" w:rsidP="00D50051">
            <w:pPr>
              <w:jc w:val="both"/>
              <w:rPr>
                <w:rFonts w:asciiTheme="minorHAnsi" w:hAnsiTheme="minorHAnsi"/>
                <w:sz w:val="22"/>
                <w:szCs w:val="22"/>
              </w:rPr>
            </w:pPr>
            <w:r w:rsidRPr="00E57854">
              <w:rPr>
                <w:rFonts w:asciiTheme="minorHAnsi" w:hAnsiTheme="minorHAnsi"/>
                <w:sz w:val="22"/>
                <w:szCs w:val="22"/>
              </w:rPr>
              <w:t>Per kW gecontracteerd per jaar</w:t>
            </w:r>
          </w:p>
        </w:tc>
        <w:tc>
          <w:tcPr>
            <w:tcW w:w="2668" w:type="dxa"/>
            <w:tcBorders>
              <w:top w:val="single" w:sz="4" w:space="0" w:color="auto"/>
              <w:left w:val="single" w:sz="4" w:space="0" w:color="auto"/>
              <w:bottom w:val="single" w:sz="4" w:space="0" w:color="auto"/>
            </w:tcBorders>
          </w:tcPr>
          <w:p w14:paraId="3523892F" w14:textId="2CB5D03C" w:rsidR="00D50051" w:rsidRPr="00E57854" w:rsidRDefault="00D50051" w:rsidP="00D50051">
            <w:pPr>
              <w:jc w:val="right"/>
              <w:rPr>
                <w:rFonts w:asciiTheme="minorHAnsi" w:hAnsiTheme="minorHAnsi"/>
                <w:sz w:val="22"/>
                <w:szCs w:val="22"/>
              </w:rPr>
            </w:pPr>
            <w:r w:rsidRPr="00E57854">
              <w:rPr>
                <w:rFonts w:asciiTheme="minorHAnsi" w:hAnsiTheme="minorHAnsi"/>
                <w:sz w:val="22"/>
                <w:szCs w:val="22"/>
              </w:rPr>
              <w:t xml:space="preserve">€ </w:t>
            </w:r>
            <w:r w:rsidR="00EB7021" w:rsidRPr="00EB7021">
              <w:rPr>
                <w:rFonts w:asciiTheme="minorHAnsi" w:hAnsiTheme="minorHAnsi"/>
                <w:sz w:val="22"/>
                <w:szCs w:val="22"/>
              </w:rPr>
              <w:t>7,6344</w:t>
            </w:r>
          </w:p>
        </w:tc>
      </w:tr>
      <w:tr w:rsidR="00D50051" w:rsidRPr="00E57854" w14:paraId="0D0B48E1" w14:textId="77777777" w:rsidTr="00CE3A41">
        <w:tc>
          <w:tcPr>
            <w:tcW w:w="5778" w:type="dxa"/>
            <w:tcBorders>
              <w:top w:val="single" w:sz="4" w:space="0" w:color="auto"/>
              <w:bottom w:val="single" w:sz="4" w:space="0" w:color="auto"/>
              <w:right w:val="single" w:sz="4" w:space="0" w:color="auto"/>
            </w:tcBorders>
          </w:tcPr>
          <w:p w14:paraId="0F4ABED5" w14:textId="77777777" w:rsidR="00D50051" w:rsidRPr="00E57854" w:rsidRDefault="00D50051" w:rsidP="00D50051">
            <w:pPr>
              <w:jc w:val="both"/>
              <w:rPr>
                <w:rFonts w:asciiTheme="minorHAnsi" w:hAnsiTheme="minorHAnsi"/>
                <w:sz w:val="22"/>
                <w:szCs w:val="22"/>
              </w:rPr>
            </w:pPr>
            <w:r w:rsidRPr="00E57854">
              <w:rPr>
                <w:rFonts w:asciiTheme="minorHAnsi" w:hAnsiTheme="minorHAnsi"/>
                <w:sz w:val="22"/>
                <w:szCs w:val="22"/>
              </w:rPr>
              <w:t>Per kWh gedurende normaaltariefuren</w:t>
            </w:r>
          </w:p>
        </w:tc>
        <w:tc>
          <w:tcPr>
            <w:tcW w:w="2668" w:type="dxa"/>
            <w:tcBorders>
              <w:top w:val="single" w:sz="4" w:space="0" w:color="auto"/>
              <w:left w:val="single" w:sz="4" w:space="0" w:color="auto"/>
              <w:bottom w:val="single" w:sz="4" w:space="0" w:color="auto"/>
            </w:tcBorders>
          </w:tcPr>
          <w:p w14:paraId="4187AD2C" w14:textId="3C9ED915" w:rsidR="00D50051" w:rsidRPr="00E57854" w:rsidRDefault="00D50051" w:rsidP="00D50051">
            <w:pPr>
              <w:jc w:val="right"/>
              <w:rPr>
                <w:rFonts w:asciiTheme="minorHAnsi" w:hAnsiTheme="minorHAnsi"/>
                <w:sz w:val="22"/>
                <w:szCs w:val="22"/>
              </w:rPr>
            </w:pPr>
            <w:r w:rsidRPr="00E57854">
              <w:rPr>
                <w:rFonts w:asciiTheme="minorHAnsi" w:hAnsiTheme="minorHAnsi"/>
                <w:sz w:val="22"/>
                <w:szCs w:val="22"/>
              </w:rPr>
              <w:t xml:space="preserve">€ </w:t>
            </w:r>
            <w:r w:rsidR="00BC72D2" w:rsidRPr="00BC72D2">
              <w:rPr>
                <w:rFonts w:asciiTheme="minorHAnsi" w:hAnsiTheme="minorHAnsi"/>
                <w:sz w:val="22"/>
                <w:szCs w:val="22"/>
              </w:rPr>
              <w:t>0,0338</w:t>
            </w:r>
          </w:p>
        </w:tc>
      </w:tr>
      <w:tr w:rsidR="00D50051" w:rsidRPr="00E57854" w14:paraId="24036474" w14:textId="77777777" w:rsidTr="00CE3A41">
        <w:tc>
          <w:tcPr>
            <w:tcW w:w="5778" w:type="dxa"/>
            <w:tcBorders>
              <w:top w:val="single" w:sz="4" w:space="0" w:color="auto"/>
              <w:bottom w:val="single" w:sz="4" w:space="0" w:color="auto"/>
              <w:right w:val="single" w:sz="4" w:space="0" w:color="auto"/>
            </w:tcBorders>
          </w:tcPr>
          <w:p w14:paraId="04F795B1" w14:textId="77777777" w:rsidR="00D50051" w:rsidRPr="00E57854" w:rsidRDefault="00D50051" w:rsidP="00D50051">
            <w:pPr>
              <w:jc w:val="both"/>
              <w:rPr>
                <w:rFonts w:asciiTheme="minorHAnsi" w:hAnsiTheme="minorHAnsi"/>
                <w:sz w:val="22"/>
                <w:szCs w:val="22"/>
              </w:rPr>
            </w:pPr>
            <w:r w:rsidRPr="00E57854">
              <w:rPr>
                <w:rFonts w:asciiTheme="minorHAnsi" w:hAnsiTheme="minorHAnsi"/>
                <w:sz w:val="22"/>
                <w:szCs w:val="22"/>
              </w:rPr>
              <w:t>Per kWh gedurende laagtariefuren</w:t>
            </w:r>
          </w:p>
        </w:tc>
        <w:tc>
          <w:tcPr>
            <w:tcW w:w="2668" w:type="dxa"/>
            <w:tcBorders>
              <w:top w:val="single" w:sz="4" w:space="0" w:color="auto"/>
              <w:left w:val="single" w:sz="4" w:space="0" w:color="auto"/>
              <w:bottom w:val="single" w:sz="4" w:space="0" w:color="auto"/>
            </w:tcBorders>
          </w:tcPr>
          <w:p w14:paraId="29365263" w14:textId="48BE2530" w:rsidR="00D50051" w:rsidRPr="00E57854" w:rsidRDefault="00D50051" w:rsidP="00D50051">
            <w:pPr>
              <w:jc w:val="right"/>
              <w:rPr>
                <w:rFonts w:asciiTheme="minorHAnsi" w:hAnsiTheme="minorHAnsi"/>
                <w:sz w:val="22"/>
                <w:szCs w:val="22"/>
              </w:rPr>
            </w:pPr>
            <w:r w:rsidRPr="00E57854">
              <w:rPr>
                <w:rFonts w:asciiTheme="minorHAnsi" w:hAnsiTheme="minorHAnsi"/>
                <w:sz w:val="22"/>
                <w:szCs w:val="22"/>
              </w:rPr>
              <w:t xml:space="preserve">€ </w:t>
            </w:r>
            <w:r w:rsidR="00BC72D2" w:rsidRPr="00BC72D2">
              <w:rPr>
                <w:rFonts w:asciiTheme="minorHAnsi" w:hAnsiTheme="minorHAnsi"/>
                <w:sz w:val="22"/>
                <w:szCs w:val="22"/>
              </w:rPr>
              <w:t>0,0134</w:t>
            </w:r>
          </w:p>
        </w:tc>
      </w:tr>
      <w:tr w:rsidR="00D50051" w:rsidRPr="00E57854" w14:paraId="223C42D6" w14:textId="77777777" w:rsidTr="00CE3A41">
        <w:tc>
          <w:tcPr>
            <w:tcW w:w="5778" w:type="dxa"/>
            <w:tcBorders>
              <w:top w:val="single" w:sz="4" w:space="0" w:color="auto"/>
              <w:right w:val="single" w:sz="4" w:space="0" w:color="auto"/>
            </w:tcBorders>
          </w:tcPr>
          <w:p w14:paraId="31316A5E" w14:textId="77777777" w:rsidR="00D50051" w:rsidRPr="00E57854" w:rsidRDefault="00D50051" w:rsidP="00D50051">
            <w:pPr>
              <w:jc w:val="both"/>
              <w:rPr>
                <w:rFonts w:asciiTheme="minorHAnsi" w:hAnsiTheme="minorHAnsi"/>
                <w:sz w:val="22"/>
                <w:szCs w:val="22"/>
              </w:rPr>
            </w:pPr>
            <w:r w:rsidRPr="00E57854">
              <w:rPr>
                <w:rFonts w:asciiTheme="minorHAnsi" w:hAnsiTheme="minorHAnsi"/>
                <w:sz w:val="22"/>
                <w:szCs w:val="22"/>
              </w:rPr>
              <w:t xml:space="preserve">Per </w:t>
            </w:r>
            <w:proofErr w:type="spellStart"/>
            <w:r w:rsidRPr="00E57854">
              <w:rPr>
                <w:rFonts w:asciiTheme="minorHAnsi" w:hAnsiTheme="minorHAnsi"/>
                <w:sz w:val="22"/>
                <w:szCs w:val="22"/>
              </w:rPr>
              <w:t>kVarh</w:t>
            </w:r>
            <w:proofErr w:type="spellEnd"/>
            <w:r w:rsidRPr="00E57854">
              <w:rPr>
                <w:rFonts w:asciiTheme="minorHAnsi" w:hAnsiTheme="minorHAnsi"/>
                <w:sz w:val="22"/>
                <w:szCs w:val="22"/>
              </w:rPr>
              <w:t xml:space="preserve"> blindstroom</w:t>
            </w:r>
          </w:p>
        </w:tc>
        <w:tc>
          <w:tcPr>
            <w:tcW w:w="2668" w:type="dxa"/>
            <w:tcBorders>
              <w:top w:val="single" w:sz="4" w:space="0" w:color="auto"/>
              <w:left w:val="single" w:sz="4" w:space="0" w:color="auto"/>
            </w:tcBorders>
          </w:tcPr>
          <w:p w14:paraId="4FCA62C7" w14:textId="3F0F7205" w:rsidR="00D50051" w:rsidRPr="00E57854" w:rsidRDefault="00D50051" w:rsidP="00D50051">
            <w:pPr>
              <w:jc w:val="right"/>
              <w:rPr>
                <w:rFonts w:asciiTheme="minorHAnsi" w:hAnsiTheme="minorHAnsi"/>
                <w:sz w:val="22"/>
                <w:szCs w:val="22"/>
              </w:rPr>
            </w:pPr>
            <w:r w:rsidRPr="00E57854">
              <w:rPr>
                <w:rFonts w:asciiTheme="minorHAnsi" w:hAnsiTheme="minorHAnsi"/>
                <w:sz w:val="22"/>
                <w:szCs w:val="22"/>
              </w:rPr>
              <w:t xml:space="preserve">€ </w:t>
            </w:r>
            <w:r w:rsidR="00BC72D2" w:rsidRPr="00BC72D2">
              <w:rPr>
                <w:rFonts w:asciiTheme="minorHAnsi" w:hAnsiTheme="minorHAnsi"/>
                <w:sz w:val="22"/>
                <w:szCs w:val="22"/>
              </w:rPr>
              <w:t>0,0171</w:t>
            </w:r>
          </w:p>
        </w:tc>
      </w:tr>
    </w:tbl>
    <w:p w14:paraId="7CDCDDB6" w14:textId="77777777" w:rsidR="00E16FE7" w:rsidRPr="00E57854" w:rsidRDefault="00E16FE7" w:rsidP="00E16FE7">
      <w:pPr>
        <w:jc w:val="both"/>
        <w:rPr>
          <w:rFonts w:asciiTheme="minorHAnsi" w:hAnsiTheme="minorHAnsi"/>
          <w:sz w:val="22"/>
          <w:szCs w:val="22"/>
        </w:rPr>
      </w:pPr>
    </w:p>
    <w:p w14:paraId="40328461" w14:textId="77777777" w:rsidR="00E16FE7" w:rsidRPr="00E57854" w:rsidRDefault="00E16FE7" w:rsidP="00E16FE7">
      <w:pPr>
        <w:pStyle w:val="Lijstalinea"/>
        <w:numPr>
          <w:ilvl w:val="0"/>
          <w:numId w:val="19"/>
        </w:numPr>
        <w:contextualSpacing/>
        <w:jc w:val="both"/>
        <w:rPr>
          <w:rFonts w:asciiTheme="minorHAnsi" w:hAnsiTheme="minorHAnsi"/>
          <w:b/>
          <w:sz w:val="22"/>
          <w:szCs w:val="22"/>
          <w:u w:val="single"/>
        </w:rPr>
      </w:pPr>
      <w:r w:rsidRPr="00E57854">
        <w:rPr>
          <w:rFonts w:asciiTheme="minorHAnsi" w:hAnsiTheme="minorHAnsi"/>
          <w:b/>
          <w:sz w:val="22"/>
          <w:szCs w:val="22"/>
          <w:u w:val="single"/>
        </w:rPr>
        <w:t>Aansluiting transformator MS/LS (MS/LS deelmarktgrens van &gt; 3x225A t/m 1,2 MVA)</w:t>
      </w:r>
    </w:p>
    <w:p w14:paraId="6D0D616A" w14:textId="77777777" w:rsidR="00E16FE7" w:rsidRPr="00E57854" w:rsidRDefault="00E16FE7" w:rsidP="00E16FE7">
      <w:pPr>
        <w:jc w:val="both"/>
        <w:rPr>
          <w:rFonts w:asciiTheme="minorHAnsi" w:hAnsiTheme="minorHAnsi"/>
          <w:sz w:val="22"/>
          <w:szCs w:val="22"/>
        </w:rPr>
      </w:pPr>
    </w:p>
    <w:tbl>
      <w:tblPr>
        <w:tblW w:w="0" w:type="auto"/>
        <w:tblLook w:val="04A0" w:firstRow="1" w:lastRow="0" w:firstColumn="1" w:lastColumn="0" w:noHBand="0" w:noVBand="1"/>
      </w:tblPr>
      <w:tblGrid>
        <w:gridCol w:w="5778"/>
        <w:gridCol w:w="2668"/>
      </w:tblGrid>
      <w:tr w:rsidR="00E16FE7" w:rsidRPr="00E57854" w14:paraId="6016CAF9" w14:textId="77777777" w:rsidTr="00CE3A41">
        <w:tc>
          <w:tcPr>
            <w:tcW w:w="5778" w:type="dxa"/>
            <w:tcBorders>
              <w:bottom w:val="single" w:sz="4" w:space="0" w:color="auto"/>
              <w:right w:val="single" w:sz="4" w:space="0" w:color="auto"/>
            </w:tcBorders>
          </w:tcPr>
          <w:p w14:paraId="355F1A17" w14:textId="77777777" w:rsidR="00E16FE7" w:rsidRPr="00E57854" w:rsidRDefault="00E16FE7" w:rsidP="00CE3A41">
            <w:pPr>
              <w:jc w:val="both"/>
              <w:rPr>
                <w:rFonts w:asciiTheme="minorHAnsi" w:hAnsiTheme="minorHAnsi"/>
                <w:b/>
                <w:sz w:val="22"/>
                <w:szCs w:val="22"/>
              </w:rPr>
            </w:pPr>
            <w:r w:rsidRPr="00E57854">
              <w:rPr>
                <w:rFonts w:asciiTheme="minorHAnsi" w:hAnsiTheme="minorHAnsi"/>
                <w:b/>
                <w:sz w:val="22"/>
                <w:szCs w:val="22"/>
              </w:rPr>
              <w:t>Wat</w:t>
            </w:r>
          </w:p>
        </w:tc>
        <w:tc>
          <w:tcPr>
            <w:tcW w:w="2668" w:type="dxa"/>
            <w:tcBorders>
              <w:left w:val="single" w:sz="4" w:space="0" w:color="auto"/>
              <w:bottom w:val="single" w:sz="4" w:space="0" w:color="auto"/>
            </w:tcBorders>
          </w:tcPr>
          <w:p w14:paraId="1C78C47E" w14:textId="77777777" w:rsidR="00E16FE7" w:rsidRPr="00E57854" w:rsidRDefault="00E16FE7" w:rsidP="00CE3A41">
            <w:pPr>
              <w:jc w:val="both"/>
              <w:rPr>
                <w:rFonts w:asciiTheme="minorHAnsi" w:hAnsiTheme="minorHAnsi"/>
                <w:b/>
                <w:sz w:val="22"/>
                <w:szCs w:val="22"/>
              </w:rPr>
            </w:pPr>
            <w:r w:rsidRPr="00E57854">
              <w:rPr>
                <w:rFonts w:asciiTheme="minorHAnsi" w:hAnsiTheme="minorHAnsi"/>
                <w:b/>
                <w:sz w:val="22"/>
                <w:szCs w:val="22"/>
              </w:rPr>
              <w:t>Bedrag (excl. 21% BTW)</w:t>
            </w:r>
          </w:p>
        </w:tc>
      </w:tr>
      <w:tr w:rsidR="00C72ED8" w:rsidRPr="00C72ED8" w14:paraId="2F745E84" w14:textId="77777777" w:rsidTr="00CE3A41">
        <w:tc>
          <w:tcPr>
            <w:tcW w:w="5778" w:type="dxa"/>
            <w:tcBorders>
              <w:top w:val="single" w:sz="4" w:space="0" w:color="auto"/>
              <w:bottom w:val="single" w:sz="4" w:space="0" w:color="auto"/>
              <w:right w:val="single" w:sz="4" w:space="0" w:color="auto"/>
            </w:tcBorders>
          </w:tcPr>
          <w:p w14:paraId="65758AF2" w14:textId="77777777" w:rsidR="00D50051" w:rsidRPr="001347B5" w:rsidRDefault="00D50051" w:rsidP="00D50051">
            <w:pPr>
              <w:jc w:val="both"/>
              <w:rPr>
                <w:rFonts w:asciiTheme="minorHAnsi" w:hAnsiTheme="minorHAnsi"/>
                <w:sz w:val="22"/>
                <w:szCs w:val="22"/>
              </w:rPr>
            </w:pPr>
            <w:r w:rsidRPr="001347B5">
              <w:rPr>
                <w:rFonts w:asciiTheme="minorHAnsi" w:hAnsiTheme="minorHAnsi"/>
                <w:sz w:val="22"/>
                <w:szCs w:val="22"/>
              </w:rPr>
              <w:t>Transportonafhankelijk tarief (vastrecht) per jaar</w:t>
            </w:r>
          </w:p>
        </w:tc>
        <w:tc>
          <w:tcPr>
            <w:tcW w:w="2668" w:type="dxa"/>
            <w:tcBorders>
              <w:top w:val="single" w:sz="4" w:space="0" w:color="auto"/>
              <w:left w:val="single" w:sz="4" w:space="0" w:color="auto"/>
              <w:bottom w:val="single" w:sz="4" w:space="0" w:color="auto"/>
            </w:tcBorders>
          </w:tcPr>
          <w:p w14:paraId="6960539B" w14:textId="77777777" w:rsidR="00D50051" w:rsidRPr="001347B5" w:rsidRDefault="00D50051" w:rsidP="00D50051">
            <w:pPr>
              <w:jc w:val="right"/>
              <w:rPr>
                <w:rFonts w:asciiTheme="minorHAnsi" w:hAnsiTheme="minorHAnsi"/>
                <w:sz w:val="22"/>
                <w:szCs w:val="22"/>
              </w:rPr>
            </w:pPr>
            <w:r w:rsidRPr="001347B5">
              <w:rPr>
                <w:rFonts w:asciiTheme="minorHAnsi" w:hAnsiTheme="minorHAnsi"/>
                <w:sz w:val="22"/>
                <w:szCs w:val="22"/>
              </w:rPr>
              <w:t>€ 441,0000</w:t>
            </w:r>
          </w:p>
        </w:tc>
      </w:tr>
      <w:tr w:rsidR="00BC72D2" w:rsidRPr="00BC72D2" w14:paraId="2EADF30D" w14:textId="77777777" w:rsidTr="00CE3A41">
        <w:tc>
          <w:tcPr>
            <w:tcW w:w="5778" w:type="dxa"/>
            <w:tcBorders>
              <w:top w:val="single" w:sz="4" w:space="0" w:color="auto"/>
              <w:bottom w:val="single" w:sz="4" w:space="0" w:color="auto"/>
              <w:right w:val="single" w:sz="4" w:space="0" w:color="auto"/>
            </w:tcBorders>
          </w:tcPr>
          <w:p w14:paraId="1E5AB570" w14:textId="77777777" w:rsidR="00D50051" w:rsidRPr="001347B5" w:rsidRDefault="00D50051" w:rsidP="00D50051">
            <w:pPr>
              <w:jc w:val="both"/>
              <w:rPr>
                <w:rFonts w:asciiTheme="minorHAnsi" w:hAnsiTheme="minorHAnsi"/>
                <w:sz w:val="22"/>
                <w:szCs w:val="22"/>
              </w:rPr>
            </w:pPr>
            <w:r w:rsidRPr="001347B5">
              <w:rPr>
                <w:rFonts w:asciiTheme="minorHAnsi" w:hAnsiTheme="minorHAnsi"/>
                <w:sz w:val="22"/>
                <w:szCs w:val="22"/>
              </w:rPr>
              <w:t>Per kW max. per maand</w:t>
            </w:r>
          </w:p>
        </w:tc>
        <w:tc>
          <w:tcPr>
            <w:tcW w:w="2668" w:type="dxa"/>
            <w:tcBorders>
              <w:top w:val="single" w:sz="4" w:space="0" w:color="auto"/>
              <w:left w:val="single" w:sz="4" w:space="0" w:color="auto"/>
              <w:bottom w:val="single" w:sz="4" w:space="0" w:color="auto"/>
            </w:tcBorders>
          </w:tcPr>
          <w:p w14:paraId="18EF481B" w14:textId="021A19D4" w:rsidR="00D50051" w:rsidRPr="001347B5" w:rsidRDefault="00D50051" w:rsidP="00D50051">
            <w:pPr>
              <w:jc w:val="right"/>
              <w:rPr>
                <w:rFonts w:asciiTheme="minorHAnsi" w:hAnsiTheme="minorHAnsi"/>
                <w:sz w:val="22"/>
                <w:szCs w:val="22"/>
              </w:rPr>
            </w:pPr>
            <w:r w:rsidRPr="001347B5">
              <w:rPr>
                <w:rFonts w:asciiTheme="minorHAnsi" w:hAnsiTheme="minorHAnsi"/>
                <w:sz w:val="22"/>
                <w:szCs w:val="22"/>
              </w:rPr>
              <w:t>€ 1,</w:t>
            </w:r>
            <w:r w:rsidR="0080495D" w:rsidRPr="001347B5">
              <w:rPr>
                <w:rFonts w:asciiTheme="minorHAnsi" w:hAnsiTheme="minorHAnsi"/>
                <w:sz w:val="22"/>
                <w:szCs w:val="22"/>
              </w:rPr>
              <w:t>331</w:t>
            </w:r>
            <w:r w:rsidR="001347B5" w:rsidRPr="001347B5">
              <w:rPr>
                <w:rFonts w:asciiTheme="minorHAnsi" w:hAnsiTheme="minorHAnsi"/>
                <w:sz w:val="22"/>
                <w:szCs w:val="22"/>
              </w:rPr>
              <w:t>7</w:t>
            </w:r>
          </w:p>
        </w:tc>
      </w:tr>
      <w:tr w:rsidR="001347B5" w:rsidRPr="001347B5" w14:paraId="2F3BF7DD" w14:textId="77777777" w:rsidTr="00CE3A41">
        <w:tc>
          <w:tcPr>
            <w:tcW w:w="5778" w:type="dxa"/>
            <w:tcBorders>
              <w:top w:val="single" w:sz="4" w:space="0" w:color="auto"/>
              <w:bottom w:val="single" w:sz="4" w:space="0" w:color="auto"/>
              <w:right w:val="single" w:sz="4" w:space="0" w:color="auto"/>
            </w:tcBorders>
          </w:tcPr>
          <w:p w14:paraId="6251F8E3" w14:textId="77777777" w:rsidR="00D50051" w:rsidRPr="001347B5" w:rsidRDefault="00D50051" w:rsidP="00D50051">
            <w:pPr>
              <w:jc w:val="both"/>
              <w:rPr>
                <w:rFonts w:asciiTheme="minorHAnsi" w:hAnsiTheme="minorHAnsi"/>
                <w:sz w:val="22"/>
                <w:szCs w:val="22"/>
              </w:rPr>
            </w:pPr>
            <w:r w:rsidRPr="001347B5">
              <w:rPr>
                <w:rFonts w:asciiTheme="minorHAnsi" w:hAnsiTheme="minorHAnsi"/>
                <w:sz w:val="22"/>
                <w:szCs w:val="22"/>
              </w:rPr>
              <w:t>Per kW gecontracteerd per jaar</w:t>
            </w:r>
          </w:p>
        </w:tc>
        <w:tc>
          <w:tcPr>
            <w:tcW w:w="2668" w:type="dxa"/>
            <w:tcBorders>
              <w:top w:val="single" w:sz="4" w:space="0" w:color="auto"/>
              <w:left w:val="single" w:sz="4" w:space="0" w:color="auto"/>
              <w:bottom w:val="single" w:sz="4" w:space="0" w:color="auto"/>
            </w:tcBorders>
          </w:tcPr>
          <w:p w14:paraId="7DC5FB05" w14:textId="3ED7431E" w:rsidR="00D50051" w:rsidRPr="001347B5" w:rsidRDefault="00D50051" w:rsidP="00D50051">
            <w:pPr>
              <w:jc w:val="right"/>
              <w:rPr>
                <w:rFonts w:asciiTheme="minorHAnsi" w:hAnsiTheme="minorHAnsi"/>
                <w:sz w:val="22"/>
                <w:szCs w:val="22"/>
              </w:rPr>
            </w:pPr>
            <w:r w:rsidRPr="001347B5">
              <w:rPr>
                <w:rFonts w:asciiTheme="minorHAnsi" w:hAnsiTheme="minorHAnsi"/>
                <w:sz w:val="22"/>
                <w:szCs w:val="22"/>
              </w:rPr>
              <w:t xml:space="preserve">€ </w:t>
            </w:r>
            <w:r w:rsidR="001347B5" w:rsidRPr="001347B5">
              <w:rPr>
                <w:rFonts w:asciiTheme="minorHAnsi" w:hAnsiTheme="minorHAnsi"/>
                <w:sz w:val="22"/>
                <w:szCs w:val="22"/>
              </w:rPr>
              <w:t>13,2255</w:t>
            </w:r>
          </w:p>
        </w:tc>
      </w:tr>
      <w:tr w:rsidR="00BC72D2" w:rsidRPr="00BC72D2" w14:paraId="45A73084" w14:textId="77777777" w:rsidTr="00CE3A41">
        <w:tc>
          <w:tcPr>
            <w:tcW w:w="5778" w:type="dxa"/>
            <w:tcBorders>
              <w:top w:val="single" w:sz="4" w:space="0" w:color="auto"/>
              <w:bottom w:val="single" w:sz="4" w:space="0" w:color="auto"/>
              <w:right w:val="single" w:sz="4" w:space="0" w:color="auto"/>
            </w:tcBorders>
          </w:tcPr>
          <w:p w14:paraId="2AA0954E" w14:textId="77777777" w:rsidR="00D50051" w:rsidRPr="001347B5" w:rsidRDefault="00D50051" w:rsidP="00D50051">
            <w:pPr>
              <w:jc w:val="both"/>
              <w:rPr>
                <w:rFonts w:asciiTheme="minorHAnsi" w:hAnsiTheme="minorHAnsi"/>
                <w:sz w:val="22"/>
                <w:szCs w:val="22"/>
              </w:rPr>
            </w:pPr>
            <w:r w:rsidRPr="001347B5">
              <w:rPr>
                <w:rFonts w:asciiTheme="minorHAnsi" w:hAnsiTheme="minorHAnsi"/>
                <w:sz w:val="22"/>
                <w:szCs w:val="22"/>
              </w:rPr>
              <w:t>Per kWh gedurende normaaltariefuren</w:t>
            </w:r>
          </w:p>
        </w:tc>
        <w:tc>
          <w:tcPr>
            <w:tcW w:w="2668" w:type="dxa"/>
            <w:tcBorders>
              <w:top w:val="single" w:sz="4" w:space="0" w:color="auto"/>
              <w:left w:val="single" w:sz="4" w:space="0" w:color="auto"/>
              <w:bottom w:val="single" w:sz="4" w:space="0" w:color="auto"/>
            </w:tcBorders>
          </w:tcPr>
          <w:p w14:paraId="6D8C97C4" w14:textId="461D1F05" w:rsidR="00D50051" w:rsidRPr="001347B5" w:rsidRDefault="00D50051" w:rsidP="00D50051">
            <w:pPr>
              <w:jc w:val="right"/>
              <w:rPr>
                <w:rFonts w:asciiTheme="minorHAnsi" w:hAnsiTheme="minorHAnsi"/>
                <w:sz w:val="22"/>
                <w:szCs w:val="22"/>
              </w:rPr>
            </w:pPr>
            <w:r w:rsidRPr="001347B5">
              <w:rPr>
                <w:rFonts w:asciiTheme="minorHAnsi" w:hAnsiTheme="minorHAnsi"/>
                <w:sz w:val="22"/>
                <w:szCs w:val="22"/>
              </w:rPr>
              <w:t>€ 0,007</w:t>
            </w:r>
            <w:r w:rsidR="001347B5" w:rsidRPr="001347B5">
              <w:rPr>
                <w:rFonts w:asciiTheme="minorHAnsi" w:hAnsiTheme="minorHAnsi"/>
                <w:sz w:val="22"/>
                <w:szCs w:val="22"/>
              </w:rPr>
              <w:t>3</w:t>
            </w:r>
          </w:p>
        </w:tc>
      </w:tr>
      <w:tr w:rsidR="00BC72D2" w:rsidRPr="00BC72D2" w14:paraId="16B7AEC2" w14:textId="77777777" w:rsidTr="00CE3A41">
        <w:tc>
          <w:tcPr>
            <w:tcW w:w="5778" w:type="dxa"/>
            <w:tcBorders>
              <w:top w:val="single" w:sz="4" w:space="0" w:color="auto"/>
              <w:bottom w:val="single" w:sz="4" w:space="0" w:color="auto"/>
              <w:right w:val="single" w:sz="4" w:space="0" w:color="auto"/>
            </w:tcBorders>
          </w:tcPr>
          <w:p w14:paraId="39FD0A9A" w14:textId="77777777" w:rsidR="00D50051" w:rsidRPr="001347B5" w:rsidRDefault="00D50051" w:rsidP="00D50051">
            <w:pPr>
              <w:jc w:val="both"/>
              <w:rPr>
                <w:rFonts w:asciiTheme="minorHAnsi" w:hAnsiTheme="minorHAnsi"/>
                <w:sz w:val="22"/>
                <w:szCs w:val="22"/>
              </w:rPr>
            </w:pPr>
            <w:r w:rsidRPr="001347B5">
              <w:rPr>
                <w:rFonts w:asciiTheme="minorHAnsi" w:hAnsiTheme="minorHAnsi"/>
                <w:sz w:val="22"/>
                <w:szCs w:val="22"/>
              </w:rPr>
              <w:t>Per kWh gedurende laagtariefuren</w:t>
            </w:r>
          </w:p>
        </w:tc>
        <w:tc>
          <w:tcPr>
            <w:tcW w:w="2668" w:type="dxa"/>
            <w:tcBorders>
              <w:top w:val="single" w:sz="4" w:space="0" w:color="auto"/>
              <w:left w:val="single" w:sz="4" w:space="0" w:color="auto"/>
              <w:bottom w:val="single" w:sz="4" w:space="0" w:color="auto"/>
            </w:tcBorders>
          </w:tcPr>
          <w:p w14:paraId="3B8C76D5" w14:textId="205C386A" w:rsidR="00D50051" w:rsidRPr="001347B5" w:rsidRDefault="00D50051" w:rsidP="00D50051">
            <w:pPr>
              <w:jc w:val="right"/>
              <w:rPr>
                <w:rFonts w:asciiTheme="minorHAnsi" w:hAnsiTheme="minorHAnsi"/>
                <w:sz w:val="22"/>
                <w:szCs w:val="22"/>
              </w:rPr>
            </w:pPr>
            <w:r w:rsidRPr="001347B5">
              <w:rPr>
                <w:rFonts w:asciiTheme="minorHAnsi" w:hAnsiTheme="minorHAnsi"/>
                <w:sz w:val="22"/>
                <w:szCs w:val="22"/>
              </w:rPr>
              <w:t>€ 0,007</w:t>
            </w:r>
            <w:r w:rsidR="001347B5" w:rsidRPr="001347B5">
              <w:rPr>
                <w:rFonts w:asciiTheme="minorHAnsi" w:hAnsiTheme="minorHAnsi"/>
                <w:sz w:val="22"/>
                <w:szCs w:val="22"/>
              </w:rPr>
              <w:t>3</w:t>
            </w:r>
          </w:p>
        </w:tc>
      </w:tr>
      <w:tr w:rsidR="00EE6023" w:rsidRPr="00EE6023" w14:paraId="62576AEB" w14:textId="77777777" w:rsidTr="00CE3A41">
        <w:tc>
          <w:tcPr>
            <w:tcW w:w="5778" w:type="dxa"/>
            <w:tcBorders>
              <w:top w:val="single" w:sz="4" w:space="0" w:color="auto"/>
              <w:bottom w:val="nil"/>
              <w:right w:val="single" w:sz="4" w:space="0" w:color="auto"/>
            </w:tcBorders>
          </w:tcPr>
          <w:p w14:paraId="1FB8191A" w14:textId="77777777" w:rsidR="00D50051" w:rsidRPr="00EE6023" w:rsidRDefault="00D50051" w:rsidP="00D50051">
            <w:pPr>
              <w:jc w:val="both"/>
              <w:rPr>
                <w:rFonts w:asciiTheme="minorHAnsi" w:hAnsiTheme="minorHAnsi"/>
                <w:sz w:val="22"/>
                <w:szCs w:val="22"/>
              </w:rPr>
            </w:pPr>
            <w:r w:rsidRPr="00EE6023">
              <w:rPr>
                <w:rFonts w:asciiTheme="minorHAnsi" w:hAnsiTheme="minorHAnsi"/>
                <w:sz w:val="22"/>
                <w:szCs w:val="22"/>
              </w:rPr>
              <w:t xml:space="preserve">Per </w:t>
            </w:r>
            <w:proofErr w:type="spellStart"/>
            <w:r w:rsidRPr="00EE6023">
              <w:rPr>
                <w:rFonts w:asciiTheme="minorHAnsi" w:hAnsiTheme="minorHAnsi"/>
                <w:sz w:val="22"/>
                <w:szCs w:val="22"/>
              </w:rPr>
              <w:t>kVarh</w:t>
            </w:r>
            <w:proofErr w:type="spellEnd"/>
            <w:r w:rsidRPr="00EE6023">
              <w:rPr>
                <w:rFonts w:asciiTheme="minorHAnsi" w:hAnsiTheme="minorHAnsi"/>
                <w:sz w:val="22"/>
                <w:szCs w:val="22"/>
              </w:rPr>
              <w:t xml:space="preserve"> blindstroom</w:t>
            </w:r>
          </w:p>
        </w:tc>
        <w:tc>
          <w:tcPr>
            <w:tcW w:w="2668" w:type="dxa"/>
            <w:tcBorders>
              <w:top w:val="single" w:sz="4" w:space="0" w:color="auto"/>
              <w:left w:val="single" w:sz="4" w:space="0" w:color="auto"/>
              <w:bottom w:val="nil"/>
            </w:tcBorders>
          </w:tcPr>
          <w:p w14:paraId="74A7BF00" w14:textId="0199FA50" w:rsidR="00D50051" w:rsidRPr="00EE6023" w:rsidRDefault="00D50051" w:rsidP="00D50051">
            <w:pPr>
              <w:jc w:val="right"/>
              <w:rPr>
                <w:rFonts w:asciiTheme="minorHAnsi" w:hAnsiTheme="minorHAnsi"/>
                <w:sz w:val="22"/>
                <w:szCs w:val="22"/>
              </w:rPr>
            </w:pPr>
            <w:r w:rsidRPr="00EE6023">
              <w:rPr>
                <w:rFonts w:asciiTheme="minorHAnsi" w:hAnsiTheme="minorHAnsi"/>
                <w:sz w:val="22"/>
                <w:szCs w:val="22"/>
              </w:rPr>
              <w:t>€ 0,01</w:t>
            </w:r>
            <w:r w:rsidR="0080495D" w:rsidRPr="00EE6023">
              <w:rPr>
                <w:rFonts w:asciiTheme="minorHAnsi" w:hAnsiTheme="minorHAnsi"/>
                <w:sz w:val="22"/>
                <w:szCs w:val="22"/>
              </w:rPr>
              <w:t>1</w:t>
            </w:r>
            <w:r w:rsidR="00EE6023" w:rsidRPr="00EE6023">
              <w:rPr>
                <w:rFonts w:asciiTheme="minorHAnsi" w:hAnsiTheme="minorHAnsi"/>
                <w:sz w:val="22"/>
                <w:szCs w:val="22"/>
              </w:rPr>
              <w:t>5</w:t>
            </w:r>
          </w:p>
        </w:tc>
      </w:tr>
    </w:tbl>
    <w:p w14:paraId="4EADA664" w14:textId="77777777" w:rsidR="00E16FE7" w:rsidRPr="00EE6023" w:rsidRDefault="00E16FE7" w:rsidP="00E16FE7">
      <w:pPr>
        <w:jc w:val="both"/>
        <w:rPr>
          <w:rFonts w:asciiTheme="minorHAnsi" w:hAnsiTheme="minorHAnsi"/>
          <w:sz w:val="22"/>
          <w:szCs w:val="22"/>
        </w:rPr>
      </w:pPr>
    </w:p>
    <w:p w14:paraId="76D52F2E" w14:textId="77777777" w:rsidR="00E16FE7" w:rsidRPr="00EE6023" w:rsidRDefault="00E16FE7" w:rsidP="00E16FE7">
      <w:pPr>
        <w:pStyle w:val="Lijstalinea"/>
        <w:numPr>
          <w:ilvl w:val="0"/>
          <w:numId w:val="19"/>
        </w:numPr>
        <w:contextualSpacing/>
        <w:jc w:val="both"/>
        <w:rPr>
          <w:rFonts w:asciiTheme="minorHAnsi" w:hAnsiTheme="minorHAnsi"/>
          <w:b/>
          <w:color w:val="auto"/>
          <w:sz w:val="22"/>
          <w:szCs w:val="22"/>
          <w:u w:val="single"/>
        </w:rPr>
      </w:pPr>
      <w:r w:rsidRPr="00EE6023">
        <w:rPr>
          <w:rFonts w:asciiTheme="minorHAnsi" w:hAnsiTheme="minorHAnsi"/>
          <w:b/>
          <w:color w:val="auto"/>
          <w:sz w:val="22"/>
          <w:szCs w:val="22"/>
          <w:u w:val="single"/>
        </w:rPr>
        <w:t>Aansluiting MS/MS (MS/MS deelmarktgrens van &gt; 1,2 MVA t/m 6,0 MVA)</w:t>
      </w:r>
    </w:p>
    <w:p w14:paraId="6B7FE448" w14:textId="77777777" w:rsidR="00E16FE7" w:rsidRPr="00BC72D2" w:rsidRDefault="00E16FE7" w:rsidP="00E16FE7">
      <w:pPr>
        <w:jc w:val="both"/>
        <w:rPr>
          <w:rFonts w:asciiTheme="minorHAnsi" w:hAnsiTheme="minorHAnsi"/>
          <w:color w:val="FF0000"/>
          <w:sz w:val="22"/>
          <w:szCs w:val="22"/>
        </w:rPr>
      </w:pPr>
    </w:p>
    <w:tbl>
      <w:tblPr>
        <w:tblW w:w="0" w:type="auto"/>
        <w:tblLook w:val="04A0" w:firstRow="1" w:lastRow="0" w:firstColumn="1" w:lastColumn="0" w:noHBand="0" w:noVBand="1"/>
      </w:tblPr>
      <w:tblGrid>
        <w:gridCol w:w="5778"/>
        <w:gridCol w:w="2668"/>
      </w:tblGrid>
      <w:tr w:rsidR="00C66636" w:rsidRPr="00C66636" w14:paraId="456917CF" w14:textId="77777777" w:rsidTr="00CE3A41">
        <w:tc>
          <w:tcPr>
            <w:tcW w:w="5778" w:type="dxa"/>
            <w:tcBorders>
              <w:bottom w:val="single" w:sz="4" w:space="0" w:color="auto"/>
              <w:right w:val="single" w:sz="4" w:space="0" w:color="auto"/>
            </w:tcBorders>
          </w:tcPr>
          <w:p w14:paraId="24657FA4" w14:textId="77777777" w:rsidR="00E16FE7" w:rsidRPr="00C66636" w:rsidRDefault="00E16FE7" w:rsidP="00CE3A41">
            <w:pPr>
              <w:jc w:val="both"/>
              <w:rPr>
                <w:rFonts w:asciiTheme="minorHAnsi" w:hAnsiTheme="minorHAnsi"/>
                <w:b/>
                <w:sz w:val="22"/>
                <w:szCs w:val="22"/>
              </w:rPr>
            </w:pPr>
            <w:r w:rsidRPr="00C66636">
              <w:rPr>
                <w:rFonts w:asciiTheme="minorHAnsi" w:hAnsiTheme="minorHAnsi"/>
                <w:b/>
                <w:sz w:val="22"/>
                <w:szCs w:val="22"/>
              </w:rPr>
              <w:t>Wat</w:t>
            </w:r>
          </w:p>
        </w:tc>
        <w:tc>
          <w:tcPr>
            <w:tcW w:w="2668" w:type="dxa"/>
            <w:tcBorders>
              <w:left w:val="single" w:sz="4" w:space="0" w:color="auto"/>
              <w:bottom w:val="single" w:sz="4" w:space="0" w:color="auto"/>
            </w:tcBorders>
          </w:tcPr>
          <w:p w14:paraId="64DE7631" w14:textId="77777777" w:rsidR="00E16FE7" w:rsidRPr="00C66636" w:rsidRDefault="00E16FE7" w:rsidP="00CE3A41">
            <w:pPr>
              <w:jc w:val="both"/>
              <w:rPr>
                <w:rFonts w:asciiTheme="minorHAnsi" w:hAnsiTheme="minorHAnsi"/>
                <w:b/>
                <w:sz w:val="22"/>
                <w:szCs w:val="22"/>
              </w:rPr>
            </w:pPr>
            <w:r w:rsidRPr="00C66636">
              <w:rPr>
                <w:rFonts w:asciiTheme="minorHAnsi" w:hAnsiTheme="minorHAnsi"/>
                <w:b/>
                <w:sz w:val="22"/>
                <w:szCs w:val="22"/>
              </w:rPr>
              <w:t>Bedrag (excl. 21% BTW)</w:t>
            </w:r>
          </w:p>
        </w:tc>
      </w:tr>
      <w:tr w:rsidR="00C66636" w:rsidRPr="00C66636" w14:paraId="411CD00E" w14:textId="77777777" w:rsidTr="00CE3A41">
        <w:tc>
          <w:tcPr>
            <w:tcW w:w="5778" w:type="dxa"/>
            <w:tcBorders>
              <w:top w:val="single" w:sz="4" w:space="0" w:color="auto"/>
              <w:bottom w:val="single" w:sz="4" w:space="0" w:color="auto"/>
              <w:right w:val="single" w:sz="4" w:space="0" w:color="auto"/>
            </w:tcBorders>
          </w:tcPr>
          <w:p w14:paraId="6BC32A27" w14:textId="77777777" w:rsidR="00D50051" w:rsidRPr="00C66636" w:rsidRDefault="00D50051" w:rsidP="00D50051">
            <w:pPr>
              <w:jc w:val="both"/>
              <w:rPr>
                <w:rFonts w:asciiTheme="minorHAnsi" w:hAnsiTheme="minorHAnsi"/>
                <w:sz w:val="22"/>
                <w:szCs w:val="22"/>
              </w:rPr>
            </w:pPr>
            <w:r w:rsidRPr="00C66636">
              <w:rPr>
                <w:rFonts w:asciiTheme="minorHAnsi" w:hAnsiTheme="minorHAnsi"/>
                <w:sz w:val="22"/>
                <w:szCs w:val="22"/>
              </w:rPr>
              <w:t>Transportonafhankelijk tarief (vastrecht) per jaar</w:t>
            </w:r>
          </w:p>
        </w:tc>
        <w:tc>
          <w:tcPr>
            <w:tcW w:w="2668" w:type="dxa"/>
            <w:tcBorders>
              <w:top w:val="single" w:sz="4" w:space="0" w:color="auto"/>
              <w:left w:val="single" w:sz="4" w:space="0" w:color="auto"/>
              <w:bottom w:val="single" w:sz="4" w:space="0" w:color="auto"/>
            </w:tcBorders>
          </w:tcPr>
          <w:p w14:paraId="3934FEB9" w14:textId="77777777" w:rsidR="00D50051" w:rsidRPr="00C66636" w:rsidRDefault="00D50051" w:rsidP="00D50051">
            <w:pPr>
              <w:jc w:val="right"/>
              <w:rPr>
                <w:rFonts w:asciiTheme="minorHAnsi" w:hAnsiTheme="minorHAnsi"/>
                <w:sz w:val="22"/>
                <w:szCs w:val="22"/>
              </w:rPr>
            </w:pPr>
            <w:r w:rsidRPr="00C66636">
              <w:rPr>
                <w:rFonts w:asciiTheme="minorHAnsi" w:hAnsiTheme="minorHAnsi"/>
                <w:sz w:val="22"/>
                <w:szCs w:val="22"/>
              </w:rPr>
              <w:t>€ 441,0000</w:t>
            </w:r>
          </w:p>
        </w:tc>
      </w:tr>
      <w:tr w:rsidR="00C66636" w:rsidRPr="00C66636" w14:paraId="0E6D4082" w14:textId="77777777" w:rsidTr="00CE3A41">
        <w:tc>
          <w:tcPr>
            <w:tcW w:w="5778" w:type="dxa"/>
            <w:tcBorders>
              <w:top w:val="single" w:sz="4" w:space="0" w:color="auto"/>
              <w:bottom w:val="single" w:sz="4" w:space="0" w:color="auto"/>
              <w:right w:val="single" w:sz="4" w:space="0" w:color="auto"/>
            </w:tcBorders>
          </w:tcPr>
          <w:p w14:paraId="0966828E" w14:textId="77777777" w:rsidR="00D50051" w:rsidRPr="00C66636" w:rsidRDefault="00D50051" w:rsidP="00D50051">
            <w:pPr>
              <w:jc w:val="both"/>
              <w:rPr>
                <w:rFonts w:asciiTheme="minorHAnsi" w:hAnsiTheme="minorHAnsi"/>
                <w:sz w:val="22"/>
                <w:szCs w:val="22"/>
              </w:rPr>
            </w:pPr>
            <w:r w:rsidRPr="00C66636">
              <w:rPr>
                <w:rFonts w:asciiTheme="minorHAnsi" w:hAnsiTheme="minorHAnsi"/>
                <w:sz w:val="22"/>
                <w:szCs w:val="22"/>
              </w:rPr>
              <w:t>Per kW max. per maand</w:t>
            </w:r>
          </w:p>
        </w:tc>
        <w:tc>
          <w:tcPr>
            <w:tcW w:w="2668" w:type="dxa"/>
            <w:tcBorders>
              <w:top w:val="single" w:sz="4" w:space="0" w:color="auto"/>
              <w:left w:val="single" w:sz="4" w:space="0" w:color="auto"/>
              <w:bottom w:val="single" w:sz="4" w:space="0" w:color="auto"/>
            </w:tcBorders>
          </w:tcPr>
          <w:p w14:paraId="3CAB306B" w14:textId="25E48E21" w:rsidR="00D50051" w:rsidRPr="00C66636" w:rsidRDefault="00D50051" w:rsidP="00D50051">
            <w:pPr>
              <w:jc w:val="right"/>
              <w:rPr>
                <w:rFonts w:asciiTheme="minorHAnsi" w:hAnsiTheme="minorHAnsi"/>
                <w:sz w:val="22"/>
                <w:szCs w:val="22"/>
              </w:rPr>
            </w:pPr>
            <w:r w:rsidRPr="00C66636">
              <w:rPr>
                <w:rFonts w:asciiTheme="minorHAnsi" w:hAnsiTheme="minorHAnsi"/>
                <w:sz w:val="22"/>
                <w:szCs w:val="22"/>
              </w:rPr>
              <w:t>€ 1,</w:t>
            </w:r>
            <w:r w:rsidR="0080495D" w:rsidRPr="00C66636">
              <w:rPr>
                <w:rFonts w:asciiTheme="minorHAnsi" w:hAnsiTheme="minorHAnsi"/>
                <w:sz w:val="22"/>
                <w:szCs w:val="22"/>
              </w:rPr>
              <w:t>331</w:t>
            </w:r>
            <w:r w:rsidR="001347B5" w:rsidRPr="00C66636">
              <w:rPr>
                <w:rFonts w:asciiTheme="minorHAnsi" w:hAnsiTheme="minorHAnsi"/>
                <w:sz w:val="22"/>
                <w:szCs w:val="22"/>
              </w:rPr>
              <w:t>7</w:t>
            </w:r>
          </w:p>
        </w:tc>
      </w:tr>
      <w:tr w:rsidR="00C66636" w:rsidRPr="00C66636" w14:paraId="197FE7E3" w14:textId="77777777" w:rsidTr="00CE3A41">
        <w:tc>
          <w:tcPr>
            <w:tcW w:w="5778" w:type="dxa"/>
            <w:tcBorders>
              <w:top w:val="single" w:sz="4" w:space="0" w:color="auto"/>
              <w:bottom w:val="single" w:sz="4" w:space="0" w:color="auto"/>
              <w:right w:val="single" w:sz="4" w:space="0" w:color="auto"/>
            </w:tcBorders>
          </w:tcPr>
          <w:p w14:paraId="10506138" w14:textId="77777777" w:rsidR="00D50051" w:rsidRPr="00C66636" w:rsidRDefault="00D50051" w:rsidP="00D50051">
            <w:pPr>
              <w:jc w:val="both"/>
              <w:rPr>
                <w:rFonts w:asciiTheme="minorHAnsi" w:hAnsiTheme="minorHAnsi"/>
                <w:sz w:val="22"/>
                <w:szCs w:val="22"/>
              </w:rPr>
            </w:pPr>
            <w:r w:rsidRPr="00C66636">
              <w:rPr>
                <w:rFonts w:asciiTheme="minorHAnsi" w:hAnsiTheme="minorHAnsi"/>
                <w:sz w:val="22"/>
                <w:szCs w:val="22"/>
              </w:rPr>
              <w:t>Per kW gecontracteerd per jaar</w:t>
            </w:r>
          </w:p>
        </w:tc>
        <w:tc>
          <w:tcPr>
            <w:tcW w:w="2668" w:type="dxa"/>
            <w:tcBorders>
              <w:top w:val="single" w:sz="4" w:space="0" w:color="auto"/>
              <w:left w:val="single" w:sz="4" w:space="0" w:color="auto"/>
              <w:bottom w:val="single" w:sz="4" w:space="0" w:color="auto"/>
            </w:tcBorders>
          </w:tcPr>
          <w:p w14:paraId="76AE5857" w14:textId="6AED8332" w:rsidR="00D50051" w:rsidRPr="00C66636" w:rsidRDefault="00D50051" w:rsidP="00D50051">
            <w:pPr>
              <w:jc w:val="right"/>
              <w:rPr>
                <w:rFonts w:asciiTheme="minorHAnsi" w:hAnsiTheme="minorHAnsi"/>
                <w:sz w:val="22"/>
                <w:szCs w:val="22"/>
              </w:rPr>
            </w:pPr>
            <w:r w:rsidRPr="00C66636">
              <w:rPr>
                <w:rFonts w:asciiTheme="minorHAnsi" w:hAnsiTheme="minorHAnsi"/>
                <w:sz w:val="22"/>
                <w:szCs w:val="22"/>
              </w:rPr>
              <w:t xml:space="preserve">€ </w:t>
            </w:r>
            <w:r w:rsidR="00C66636" w:rsidRPr="00C66636">
              <w:rPr>
                <w:rFonts w:asciiTheme="minorHAnsi" w:hAnsiTheme="minorHAnsi"/>
                <w:sz w:val="22"/>
                <w:szCs w:val="22"/>
              </w:rPr>
              <w:t>10,771</w:t>
            </w:r>
          </w:p>
        </w:tc>
      </w:tr>
      <w:tr w:rsidR="00C66636" w:rsidRPr="00C66636" w14:paraId="01D60061" w14:textId="77777777" w:rsidTr="00CE3A41">
        <w:tc>
          <w:tcPr>
            <w:tcW w:w="5778" w:type="dxa"/>
            <w:tcBorders>
              <w:top w:val="single" w:sz="4" w:space="0" w:color="auto"/>
              <w:bottom w:val="single" w:sz="4" w:space="0" w:color="auto"/>
              <w:right w:val="single" w:sz="4" w:space="0" w:color="auto"/>
            </w:tcBorders>
          </w:tcPr>
          <w:p w14:paraId="5AEFA0B1" w14:textId="77777777" w:rsidR="00D50051" w:rsidRPr="00C66636" w:rsidRDefault="00D50051" w:rsidP="00D50051">
            <w:pPr>
              <w:jc w:val="both"/>
              <w:rPr>
                <w:rFonts w:asciiTheme="minorHAnsi" w:hAnsiTheme="minorHAnsi"/>
                <w:sz w:val="22"/>
                <w:szCs w:val="22"/>
              </w:rPr>
            </w:pPr>
            <w:r w:rsidRPr="00C66636">
              <w:rPr>
                <w:rFonts w:asciiTheme="minorHAnsi" w:hAnsiTheme="minorHAnsi"/>
                <w:sz w:val="22"/>
                <w:szCs w:val="22"/>
              </w:rPr>
              <w:t>Per kWh gedurende normaaltariefuren</w:t>
            </w:r>
          </w:p>
        </w:tc>
        <w:tc>
          <w:tcPr>
            <w:tcW w:w="2668" w:type="dxa"/>
            <w:tcBorders>
              <w:top w:val="single" w:sz="4" w:space="0" w:color="auto"/>
              <w:left w:val="single" w:sz="4" w:space="0" w:color="auto"/>
              <w:bottom w:val="single" w:sz="4" w:space="0" w:color="auto"/>
            </w:tcBorders>
          </w:tcPr>
          <w:p w14:paraId="35F48D1A" w14:textId="041DCF62" w:rsidR="00D50051" w:rsidRPr="00C66636" w:rsidRDefault="00D50051" w:rsidP="00D50051">
            <w:pPr>
              <w:jc w:val="right"/>
              <w:rPr>
                <w:rFonts w:asciiTheme="minorHAnsi" w:hAnsiTheme="minorHAnsi"/>
                <w:sz w:val="22"/>
                <w:szCs w:val="22"/>
              </w:rPr>
            </w:pPr>
            <w:r w:rsidRPr="00C66636">
              <w:rPr>
                <w:rFonts w:asciiTheme="minorHAnsi" w:hAnsiTheme="minorHAnsi"/>
                <w:sz w:val="22"/>
                <w:szCs w:val="22"/>
              </w:rPr>
              <w:t>€ 0,007</w:t>
            </w:r>
            <w:r w:rsidR="00C66636" w:rsidRPr="00C66636">
              <w:rPr>
                <w:rFonts w:asciiTheme="minorHAnsi" w:hAnsiTheme="minorHAnsi"/>
                <w:sz w:val="22"/>
                <w:szCs w:val="22"/>
              </w:rPr>
              <w:t>3</w:t>
            </w:r>
          </w:p>
        </w:tc>
      </w:tr>
      <w:tr w:rsidR="00C66636" w:rsidRPr="00C66636" w14:paraId="7DB109EA" w14:textId="77777777" w:rsidTr="00CE3A41">
        <w:tc>
          <w:tcPr>
            <w:tcW w:w="5778" w:type="dxa"/>
            <w:tcBorders>
              <w:top w:val="single" w:sz="4" w:space="0" w:color="auto"/>
              <w:bottom w:val="single" w:sz="4" w:space="0" w:color="auto"/>
              <w:right w:val="single" w:sz="4" w:space="0" w:color="auto"/>
            </w:tcBorders>
          </w:tcPr>
          <w:p w14:paraId="09D94C3A" w14:textId="77777777" w:rsidR="00D50051" w:rsidRPr="00C66636" w:rsidRDefault="00D50051" w:rsidP="00D50051">
            <w:pPr>
              <w:jc w:val="both"/>
              <w:rPr>
                <w:rFonts w:asciiTheme="minorHAnsi" w:hAnsiTheme="minorHAnsi"/>
                <w:sz w:val="22"/>
                <w:szCs w:val="22"/>
              </w:rPr>
            </w:pPr>
            <w:r w:rsidRPr="00C66636">
              <w:rPr>
                <w:rFonts w:asciiTheme="minorHAnsi" w:hAnsiTheme="minorHAnsi"/>
                <w:sz w:val="22"/>
                <w:szCs w:val="22"/>
              </w:rPr>
              <w:t>Per kWh gedurende laagtariefuren</w:t>
            </w:r>
          </w:p>
        </w:tc>
        <w:tc>
          <w:tcPr>
            <w:tcW w:w="2668" w:type="dxa"/>
            <w:tcBorders>
              <w:top w:val="single" w:sz="4" w:space="0" w:color="auto"/>
              <w:left w:val="single" w:sz="4" w:space="0" w:color="auto"/>
              <w:bottom w:val="single" w:sz="4" w:space="0" w:color="auto"/>
            </w:tcBorders>
          </w:tcPr>
          <w:p w14:paraId="704E0F62" w14:textId="3467DDFF" w:rsidR="00D50051" w:rsidRPr="00C66636" w:rsidRDefault="00D50051" w:rsidP="00D50051">
            <w:pPr>
              <w:jc w:val="right"/>
              <w:rPr>
                <w:rFonts w:asciiTheme="minorHAnsi" w:hAnsiTheme="minorHAnsi"/>
                <w:sz w:val="22"/>
                <w:szCs w:val="22"/>
              </w:rPr>
            </w:pPr>
            <w:r w:rsidRPr="00C66636">
              <w:rPr>
                <w:rFonts w:asciiTheme="minorHAnsi" w:hAnsiTheme="minorHAnsi"/>
                <w:sz w:val="22"/>
                <w:szCs w:val="22"/>
              </w:rPr>
              <w:t>€ 0,007</w:t>
            </w:r>
            <w:r w:rsidR="00C66636" w:rsidRPr="00C66636">
              <w:rPr>
                <w:rFonts w:asciiTheme="minorHAnsi" w:hAnsiTheme="minorHAnsi"/>
                <w:sz w:val="22"/>
                <w:szCs w:val="22"/>
              </w:rPr>
              <w:t>3</w:t>
            </w:r>
          </w:p>
        </w:tc>
      </w:tr>
      <w:tr w:rsidR="00C66636" w:rsidRPr="00C66636" w14:paraId="332B2E55" w14:textId="77777777" w:rsidTr="00CE3A41">
        <w:tc>
          <w:tcPr>
            <w:tcW w:w="5778" w:type="dxa"/>
            <w:tcBorders>
              <w:top w:val="single" w:sz="4" w:space="0" w:color="auto"/>
              <w:bottom w:val="nil"/>
              <w:right w:val="single" w:sz="4" w:space="0" w:color="auto"/>
            </w:tcBorders>
          </w:tcPr>
          <w:p w14:paraId="0BD65983" w14:textId="77777777" w:rsidR="00D50051" w:rsidRPr="00C66636" w:rsidRDefault="00D50051" w:rsidP="00D50051">
            <w:pPr>
              <w:jc w:val="both"/>
              <w:rPr>
                <w:rFonts w:asciiTheme="minorHAnsi" w:hAnsiTheme="minorHAnsi"/>
                <w:sz w:val="22"/>
                <w:szCs w:val="22"/>
              </w:rPr>
            </w:pPr>
            <w:r w:rsidRPr="00C66636">
              <w:rPr>
                <w:rFonts w:asciiTheme="minorHAnsi" w:hAnsiTheme="minorHAnsi"/>
                <w:sz w:val="22"/>
                <w:szCs w:val="22"/>
              </w:rPr>
              <w:t xml:space="preserve">Per </w:t>
            </w:r>
            <w:proofErr w:type="spellStart"/>
            <w:r w:rsidRPr="00C66636">
              <w:rPr>
                <w:rFonts w:asciiTheme="minorHAnsi" w:hAnsiTheme="minorHAnsi"/>
                <w:sz w:val="22"/>
                <w:szCs w:val="22"/>
              </w:rPr>
              <w:t>kVarh</w:t>
            </w:r>
            <w:proofErr w:type="spellEnd"/>
            <w:r w:rsidRPr="00C66636">
              <w:rPr>
                <w:rFonts w:asciiTheme="minorHAnsi" w:hAnsiTheme="minorHAnsi"/>
                <w:sz w:val="22"/>
                <w:szCs w:val="22"/>
              </w:rPr>
              <w:t xml:space="preserve"> blindstroom</w:t>
            </w:r>
          </w:p>
        </w:tc>
        <w:tc>
          <w:tcPr>
            <w:tcW w:w="2668" w:type="dxa"/>
            <w:tcBorders>
              <w:top w:val="single" w:sz="4" w:space="0" w:color="auto"/>
              <w:left w:val="single" w:sz="4" w:space="0" w:color="auto"/>
              <w:bottom w:val="nil"/>
            </w:tcBorders>
          </w:tcPr>
          <w:p w14:paraId="3934A1AD" w14:textId="347ED244" w:rsidR="00D50051" w:rsidRPr="00C66636" w:rsidRDefault="00D50051" w:rsidP="00D50051">
            <w:pPr>
              <w:jc w:val="right"/>
              <w:rPr>
                <w:rFonts w:asciiTheme="minorHAnsi" w:hAnsiTheme="minorHAnsi"/>
                <w:sz w:val="22"/>
                <w:szCs w:val="22"/>
              </w:rPr>
            </w:pPr>
            <w:r w:rsidRPr="00C66636">
              <w:rPr>
                <w:rFonts w:asciiTheme="minorHAnsi" w:hAnsiTheme="minorHAnsi"/>
                <w:sz w:val="22"/>
                <w:szCs w:val="22"/>
              </w:rPr>
              <w:t>€ 0,01</w:t>
            </w:r>
            <w:r w:rsidR="00C66636" w:rsidRPr="00C66636">
              <w:rPr>
                <w:rFonts w:asciiTheme="minorHAnsi" w:hAnsiTheme="minorHAnsi"/>
                <w:sz w:val="22"/>
                <w:szCs w:val="22"/>
              </w:rPr>
              <w:t>15</w:t>
            </w:r>
          </w:p>
        </w:tc>
      </w:tr>
    </w:tbl>
    <w:p w14:paraId="1A9D4D78" w14:textId="77777777" w:rsidR="00E16FE7" w:rsidRPr="00C66636" w:rsidRDefault="00E16FE7" w:rsidP="00E16FE7">
      <w:pPr>
        <w:jc w:val="both"/>
        <w:rPr>
          <w:rFonts w:asciiTheme="minorHAnsi" w:hAnsiTheme="minorHAnsi"/>
          <w:sz w:val="22"/>
          <w:szCs w:val="22"/>
        </w:rPr>
      </w:pPr>
    </w:p>
    <w:p w14:paraId="1FB1BF3A" w14:textId="77777777" w:rsidR="00E16FE7" w:rsidRPr="00E57854" w:rsidRDefault="00E16FE7" w:rsidP="00E16FE7">
      <w:pPr>
        <w:jc w:val="both"/>
        <w:rPr>
          <w:rFonts w:asciiTheme="minorHAnsi" w:hAnsiTheme="minorHAnsi"/>
          <w:sz w:val="22"/>
          <w:szCs w:val="22"/>
        </w:rPr>
      </w:pPr>
      <w:r w:rsidRPr="00E57854">
        <w:rPr>
          <w:rFonts w:asciiTheme="minorHAnsi" w:hAnsiTheme="minorHAnsi"/>
          <w:sz w:val="22"/>
          <w:szCs w:val="22"/>
        </w:rPr>
        <w:t xml:space="preserve">Naast deze netbeheerderskosten zijn er tevens aanvullende kosten voor de meterhuur. Hiervoor verwijzen wij u naar de tarieven van uw </w:t>
      </w:r>
      <w:proofErr w:type="spellStart"/>
      <w:r w:rsidRPr="00E57854">
        <w:rPr>
          <w:rFonts w:asciiTheme="minorHAnsi" w:hAnsiTheme="minorHAnsi"/>
          <w:sz w:val="22"/>
          <w:szCs w:val="22"/>
        </w:rPr>
        <w:t>meetbedrijf</w:t>
      </w:r>
      <w:proofErr w:type="spellEnd"/>
      <w:r w:rsidRPr="00E57854">
        <w:rPr>
          <w:rFonts w:asciiTheme="minorHAnsi" w:hAnsiTheme="minorHAnsi"/>
          <w:sz w:val="22"/>
          <w:szCs w:val="22"/>
        </w:rPr>
        <w:t xml:space="preserve">. </w:t>
      </w:r>
    </w:p>
    <w:p w14:paraId="0101C441" w14:textId="77777777" w:rsidR="00E16FE7" w:rsidRPr="00E57854" w:rsidRDefault="00E16FE7" w:rsidP="00E16FE7">
      <w:pPr>
        <w:rPr>
          <w:rFonts w:asciiTheme="minorHAnsi" w:hAnsiTheme="minorHAnsi"/>
          <w:b/>
          <w:sz w:val="22"/>
          <w:szCs w:val="22"/>
        </w:rPr>
      </w:pPr>
    </w:p>
    <w:p w14:paraId="3BD29D39" w14:textId="77777777" w:rsidR="00E16FE7" w:rsidRPr="00E57854" w:rsidRDefault="00E16FE7" w:rsidP="00E16FE7">
      <w:pPr>
        <w:rPr>
          <w:rFonts w:asciiTheme="minorHAnsi" w:hAnsiTheme="minorHAnsi"/>
          <w:b/>
          <w:sz w:val="22"/>
          <w:szCs w:val="22"/>
        </w:rPr>
      </w:pPr>
      <w:r w:rsidRPr="00E57854">
        <w:rPr>
          <w:rFonts w:asciiTheme="minorHAnsi" w:hAnsiTheme="minorHAnsi"/>
          <w:b/>
          <w:sz w:val="22"/>
          <w:szCs w:val="22"/>
        </w:rPr>
        <w:br w:type="page"/>
      </w:r>
    </w:p>
    <w:p w14:paraId="19E6629C" w14:textId="77777777" w:rsidR="00E16FE7" w:rsidRPr="00E57854" w:rsidRDefault="00E16FE7" w:rsidP="00E16FE7">
      <w:pPr>
        <w:jc w:val="both"/>
        <w:rPr>
          <w:rFonts w:asciiTheme="minorHAnsi" w:hAnsiTheme="minorHAnsi"/>
          <w:b/>
          <w:sz w:val="22"/>
          <w:szCs w:val="22"/>
        </w:rPr>
      </w:pPr>
      <w:r w:rsidRPr="00E57854">
        <w:rPr>
          <w:rFonts w:asciiTheme="minorHAnsi" w:hAnsiTheme="minorHAnsi"/>
          <w:b/>
          <w:sz w:val="22"/>
          <w:szCs w:val="22"/>
        </w:rPr>
        <w:lastRenderedPageBreak/>
        <w:t>TOELICHTING</w:t>
      </w:r>
    </w:p>
    <w:p w14:paraId="3661C3E1" w14:textId="77777777" w:rsidR="00E16FE7" w:rsidRPr="00E57854" w:rsidRDefault="00E16FE7" w:rsidP="00E16FE7">
      <w:pPr>
        <w:jc w:val="both"/>
        <w:rPr>
          <w:rFonts w:asciiTheme="minorHAnsi" w:hAnsiTheme="minorHAnsi"/>
          <w:sz w:val="22"/>
          <w:szCs w:val="22"/>
        </w:rPr>
      </w:pPr>
    </w:p>
    <w:p w14:paraId="5FA453F8"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r w:rsidRPr="00E57854">
        <w:rPr>
          <w:rFonts w:asciiTheme="minorHAnsi" w:hAnsiTheme="minorHAnsi" w:cs="TimesNewRoman"/>
          <w:b/>
          <w:sz w:val="22"/>
          <w:szCs w:val="22"/>
          <w:lang w:eastAsia="en-US"/>
        </w:rPr>
        <w:t>Belastingen en heffingen</w:t>
      </w:r>
    </w:p>
    <w:p w14:paraId="3E364B01"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r w:rsidRPr="00E57854">
        <w:rPr>
          <w:rFonts w:asciiTheme="minorHAnsi" w:hAnsiTheme="minorHAnsi" w:cs="TimesNewRoman"/>
          <w:sz w:val="22"/>
          <w:szCs w:val="22"/>
          <w:lang w:eastAsia="en-US"/>
        </w:rPr>
        <w:t>Alle vergoedingen moeten worden verhoogd met de door Coteq Netbeheer verschuldigde omzetbelasting en de heffingen die Coteq Netbeheer ingevolge een besluit van de overheid verplicht of bevoegd is aan de verbruiker in rekening te brengen.</w:t>
      </w:r>
    </w:p>
    <w:p w14:paraId="43E82D25" w14:textId="77777777" w:rsidR="00E16FE7" w:rsidRPr="00E57854" w:rsidRDefault="00E16FE7" w:rsidP="00E16FE7">
      <w:pPr>
        <w:autoSpaceDE w:val="0"/>
        <w:autoSpaceDN w:val="0"/>
        <w:adjustRightInd w:val="0"/>
        <w:jc w:val="both"/>
        <w:rPr>
          <w:rFonts w:asciiTheme="minorHAnsi" w:hAnsiTheme="minorHAnsi" w:cs="TimesNewRoman"/>
          <w:b/>
          <w:sz w:val="22"/>
          <w:szCs w:val="22"/>
          <w:lang w:eastAsia="en-US"/>
        </w:rPr>
      </w:pPr>
    </w:p>
    <w:p w14:paraId="3D18BEBB" w14:textId="77777777" w:rsidR="00E16FE7" w:rsidRPr="00E57854" w:rsidRDefault="00E16FE7" w:rsidP="00E16FE7">
      <w:pPr>
        <w:autoSpaceDE w:val="0"/>
        <w:autoSpaceDN w:val="0"/>
        <w:adjustRightInd w:val="0"/>
        <w:jc w:val="both"/>
        <w:rPr>
          <w:rFonts w:asciiTheme="minorHAnsi" w:hAnsiTheme="minorHAnsi" w:cs="TimesNewRoman"/>
          <w:b/>
          <w:sz w:val="22"/>
          <w:szCs w:val="22"/>
          <w:lang w:eastAsia="en-US"/>
        </w:rPr>
      </w:pPr>
      <w:r w:rsidRPr="00E57854">
        <w:rPr>
          <w:rFonts w:asciiTheme="minorHAnsi" w:hAnsiTheme="minorHAnsi" w:cs="TimesNewRoman"/>
          <w:b/>
          <w:sz w:val="22"/>
          <w:szCs w:val="22"/>
          <w:lang w:eastAsia="en-US"/>
        </w:rPr>
        <w:t>Indeling tariefklasse</w:t>
      </w:r>
    </w:p>
    <w:p w14:paraId="7959E10D"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r w:rsidRPr="00E57854">
        <w:rPr>
          <w:rFonts w:asciiTheme="minorHAnsi" w:hAnsiTheme="minorHAnsi" w:cs="TimesNewRoman"/>
          <w:sz w:val="22"/>
          <w:szCs w:val="22"/>
          <w:lang w:eastAsia="en-US"/>
        </w:rPr>
        <w:t xml:space="preserve">De indeling in een tariefklasse vindt jaarlijks plaats op basis van de gerealiseerde bedrijfstijd over het afgelopen jaar, tenzij in overleg met de verbruiker een andere indeling wordt overeengekomen. Bij nieuwe verbruikers geschiedt indeling op basis van een verwachte bedrijfstijd. De indeling blijft voor de duur van het kalenderjaar ongewijzigd; er vindt geen nacalculatie plaats op basis van de feitelijk gerealiseerde bedrijfstijd. Onder de bedrijfstijd wordt verstaan het totaal aantal afgenomen </w:t>
      </w:r>
      <w:proofErr w:type="spellStart"/>
      <w:r w:rsidRPr="00E57854">
        <w:rPr>
          <w:rFonts w:asciiTheme="minorHAnsi" w:hAnsiTheme="minorHAnsi" w:cs="TimesNewRoman"/>
          <w:sz w:val="22"/>
          <w:szCs w:val="22"/>
          <w:lang w:eastAsia="en-US"/>
        </w:rPr>
        <w:t>kWh’s</w:t>
      </w:r>
      <w:proofErr w:type="spellEnd"/>
      <w:r w:rsidRPr="00E57854">
        <w:rPr>
          <w:rFonts w:asciiTheme="minorHAnsi" w:hAnsiTheme="minorHAnsi" w:cs="TimesNewRoman"/>
          <w:sz w:val="22"/>
          <w:szCs w:val="22"/>
          <w:lang w:eastAsia="en-US"/>
        </w:rPr>
        <w:t xml:space="preserve"> in een kalenderjaar gedeeld door de hoogst opgetreden belasting in dat jaar.</w:t>
      </w:r>
    </w:p>
    <w:p w14:paraId="081B96C1"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p>
    <w:p w14:paraId="2573144D"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r w:rsidRPr="00E57854">
        <w:rPr>
          <w:rFonts w:asciiTheme="minorHAnsi" w:hAnsiTheme="minorHAnsi" w:cs="TimesNewRoman"/>
          <w:b/>
          <w:sz w:val="22"/>
          <w:szCs w:val="22"/>
          <w:lang w:eastAsia="en-US"/>
        </w:rPr>
        <w:t>Vastrecht transportdienst</w:t>
      </w:r>
    </w:p>
    <w:p w14:paraId="4ADE8B90"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r w:rsidRPr="00E57854">
        <w:rPr>
          <w:rFonts w:asciiTheme="minorHAnsi" w:hAnsiTheme="minorHAnsi" w:cs="TimesNewRoman"/>
          <w:sz w:val="22"/>
          <w:szCs w:val="22"/>
          <w:lang w:eastAsia="en-US"/>
        </w:rPr>
        <w:t>Dit is de vaste vergoeding voor het beschikbaar stellen en houden van transport van elektriciteit, onafhankelijk van de hoeveelheid elektriciteit die wordt verbruikt.</w:t>
      </w:r>
    </w:p>
    <w:p w14:paraId="569CF8FD" w14:textId="77777777" w:rsidR="00E16FE7" w:rsidRPr="00E57854" w:rsidRDefault="00E16FE7" w:rsidP="00E16FE7">
      <w:pPr>
        <w:autoSpaceDE w:val="0"/>
        <w:autoSpaceDN w:val="0"/>
        <w:adjustRightInd w:val="0"/>
        <w:jc w:val="both"/>
        <w:rPr>
          <w:rFonts w:asciiTheme="minorHAnsi" w:hAnsiTheme="minorHAnsi" w:cs="TimesNewRoman"/>
          <w:b/>
          <w:sz w:val="22"/>
          <w:szCs w:val="22"/>
          <w:lang w:eastAsia="en-US"/>
        </w:rPr>
      </w:pPr>
    </w:p>
    <w:p w14:paraId="5F08EE68"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r w:rsidRPr="00E57854">
        <w:rPr>
          <w:rFonts w:asciiTheme="minorHAnsi" w:hAnsiTheme="minorHAnsi" w:cs="TimesNewRoman"/>
          <w:b/>
          <w:sz w:val="22"/>
          <w:szCs w:val="22"/>
          <w:lang w:eastAsia="en-US"/>
        </w:rPr>
        <w:t>Per kWh</w:t>
      </w:r>
      <w:r w:rsidRPr="00E57854">
        <w:rPr>
          <w:rFonts w:asciiTheme="minorHAnsi" w:hAnsiTheme="minorHAnsi" w:cs="TimesNewRoman"/>
          <w:sz w:val="22"/>
          <w:szCs w:val="22"/>
          <w:lang w:eastAsia="en-US"/>
        </w:rPr>
        <w:t xml:space="preserve"> </w:t>
      </w:r>
    </w:p>
    <w:p w14:paraId="74AEE638"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r w:rsidRPr="00E57854">
        <w:rPr>
          <w:rFonts w:asciiTheme="minorHAnsi" w:hAnsiTheme="minorHAnsi" w:cs="TimesNewRoman"/>
          <w:sz w:val="22"/>
          <w:szCs w:val="22"/>
          <w:lang w:eastAsia="en-US"/>
        </w:rPr>
        <w:t>Dit is de variabele vergoeding voor het verbruik van elektriciteit gemeten in kWh.</w:t>
      </w:r>
    </w:p>
    <w:p w14:paraId="74C2D565" w14:textId="77777777" w:rsidR="00E16FE7" w:rsidRPr="00E57854" w:rsidRDefault="00E16FE7" w:rsidP="00E16FE7">
      <w:pPr>
        <w:autoSpaceDE w:val="0"/>
        <w:autoSpaceDN w:val="0"/>
        <w:adjustRightInd w:val="0"/>
        <w:jc w:val="both"/>
        <w:rPr>
          <w:rFonts w:asciiTheme="minorHAnsi" w:hAnsiTheme="minorHAnsi" w:cs="TimesNewRoman"/>
          <w:b/>
          <w:sz w:val="22"/>
          <w:szCs w:val="22"/>
          <w:lang w:eastAsia="en-US"/>
        </w:rPr>
      </w:pPr>
    </w:p>
    <w:p w14:paraId="718188FC"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r w:rsidRPr="00E57854">
        <w:rPr>
          <w:rFonts w:asciiTheme="minorHAnsi" w:hAnsiTheme="minorHAnsi" w:cs="TimesNewRoman"/>
          <w:b/>
          <w:sz w:val="22"/>
          <w:szCs w:val="22"/>
          <w:lang w:eastAsia="en-US"/>
        </w:rPr>
        <w:t>Laag en normaal tarief</w:t>
      </w:r>
      <w:r w:rsidRPr="00E57854">
        <w:rPr>
          <w:rFonts w:asciiTheme="minorHAnsi" w:hAnsiTheme="minorHAnsi" w:cs="TimesNewRoman"/>
          <w:sz w:val="22"/>
          <w:szCs w:val="22"/>
          <w:lang w:eastAsia="en-US"/>
        </w:rPr>
        <w:t xml:space="preserve"> </w:t>
      </w:r>
    </w:p>
    <w:p w14:paraId="11713126"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r w:rsidRPr="00E57854">
        <w:rPr>
          <w:rFonts w:asciiTheme="minorHAnsi" w:hAnsiTheme="minorHAnsi" w:cs="TimesNewRoman"/>
          <w:sz w:val="22"/>
          <w:szCs w:val="22"/>
          <w:lang w:eastAsia="en-US"/>
        </w:rPr>
        <w:t>Het laagtarief is van toepassing op alle uren die vallen binnen alle werkdagen van 23.00 uur tot 7.00 uur, zaterdag en zondag de gehele dag en op algemeen erkende feestdagen de gehele dag. Deze feestdagen zijn: 1 januari, 2</w:t>
      </w:r>
      <w:r w:rsidRPr="00E57854">
        <w:rPr>
          <w:rFonts w:asciiTheme="minorHAnsi" w:hAnsiTheme="minorHAnsi" w:cs="TimesNewRoman"/>
          <w:sz w:val="22"/>
          <w:szCs w:val="22"/>
          <w:vertAlign w:val="superscript"/>
          <w:lang w:eastAsia="en-US"/>
        </w:rPr>
        <w:t>e</w:t>
      </w:r>
      <w:r w:rsidRPr="00E57854">
        <w:rPr>
          <w:rFonts w:asciiTheme="minorHAnsi" w:hAnsiTheme="minorHAnsi" w:cs="TimesNewRoman"/>
          <w:sz w:val="22"/>
          <w:szCs w:val="22"/>
          <w:lang w:eastAsia="en-US"/>
        </w:rPr>
        <w:t xml:space="preserve"> Paasdag, Koningsdag, Hemelvaartsdag, 2</w:t>
      </w:r>
      <w:r w:rsidRPr="00E57854">
        <w:rPr>
          <w:rFonts w:asciiTheme="minorHAnsi" w:hAnsiTheme="minorHAnsi" w:cs="TimesNewRoman"/>
          <w:sz w:val="22"/>
          <w:szCs w:val="22"/>
          <w:vertAlign w:val="superscript"/>
          <w:lang w:eastAsia="en-US"/>
        </w:rPr>
        <w:t>e</w:t>
      </w:r>
      <w:r w:rsidRPr="00E57854">
        <w:rPr>
          <w:rFonts w:asciiTheme="minorHAnsi" w:hAnsiTheme="minorHAnsi" w:cs="TimesNewRoman"/>
          <w:sz w:val="22"/>
          <w:szCs w:val="22"/>
          <w:lang w:eastAsia="en-US"/>
        </w:rPr>
        <w:t xml:space="preserve"> Pinksterdag, 1</w:t>
      </w:r>
      <w:r w:rsidRPr="00E57854">
        <w:rPr>
          <w:rFonts w:asciiTheme="minorHAnsi" w:hAnsiTheme="minorHAnsi" w:cs="TimesNewRoman"/>
          <w:sz w:val="22"/>
          <w:szCs w:val="22"/>
          <w:vertAlign w:val="superscript"/>
          <w:lang w:eastAsia="en-US"/>
        </w:rPr>
        <w:t>e</w:t>
      </w:r>
      <w:r w:rsidRPr="00E57854">
        <w:rPr>
          <w:rFonts w:asciiTheme="minorHAnsi" w:hAnsiTheme="minorHAnsi" w:cs="TimesNewRoman"/>
          <w:sz w:val="22"/>
          <w:szCs w:val="22"/>
          <w:lang w:eastAsia="en-US"/>
        </w:rPr>
        <w:t xml:space="preserve"> Kerstdag en 2</w:t>
      </w:r>
      <w:r w:rsidRPr="00E57854">
        <w:rPr>
          <w:rFonts w:asciiTheme="minorHAnsi" w:hAnsiTheme="minorHAnsi" w:cs="TimesNewRoman"/>
          <w:sz w:val="22"/>
          <w:szCs w:val="22"/>
          <w:vertAlign w:val="superscript"/>
          <w:lang w:eastAsia="en-US"/>
        </w:rPr>
        <w:t>e</w:t>
      </w:r>
      <w:r w:rsidRPr="00E57854">
        <w:rPr>
          <w:rFonts w:asciiTheme="minorHAnsi" w:hAnsiTheme="minorHAnsi" w:cs="TimesNewRoman"/>
          <w:sz w:val="22"/>
          <w:szCs w:val="22"/>
          <w:lang w:eastAsia="en-US"/>
        </w:rPr>
        <w:t xml:space="preserve"> Kerstdag. </w:t>
      </w:r>
    </w:p>
    <w:p w14:paraId="3E772D30"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r w:rsidRPr="00E57854">
        <w:rPr>
          <w:rFonts w:asciiTheme="minorHAnsi" w:hAnsiTheme="minorHAnsi" w:cs="TimesNewRoman"/>
          <w:sz w:val="22"/>
          <w:szCs w:val="22"/>
          <w:lang w:eastAsia="en-US"/>
        </w:rPr>
        <w:t>In alle andere gevallen is het normaal tarief van toepassing.</w:t>
      </w:r>
    </w:p>
    <w:p w14:paraId="7D0D4E9E" w14:textId="77777777" w:rsidR="00E16FE7" w:rsidRPr="00E57854" w:rsidRDefault="00E16FE7" w:rsidP="00E16FE7">
      <w:pPr>
        <w:autoSpaceDE w:val="0"/>
        <w:autoSpaceDN w:val="0"/>
        <w:adjustRightInd w:val="0"/>
        <w:jc w:val="both"/>
        <w:rPr>
          <w:rFonts w:asciiTheme="minorHAnsi" w:hAnsiTheme="minorHAnsi" w:cs="TimesNewRoman"/>
          <w:b/>
          <w:sz w:val="22"/>
          <w:szCs w:val="22"/>
          <w:lang w:eastAsia="en-US"/>
        </w:rPr>
      </w:pPr>
    </w:p>
    <w:p w14:paraId="028E0ED8" w14:textId="77777777" w:rsidR="00E16FE7" w:rsidRPr="00E57854" w:rsidRDefault="00E16FE7" w:rsidP="00E16FE7">
      <w:pPr>
        <w:autoSpaceDE w:val="0"/>
        <w:autoSpaceDN w:val="0"/>
        <w:adjustRightInd w:val="0"/>
        <w:jc w:val="both"/>
        <w:rPr>
          <w:rFonts w:asciiTheme="minorHAnsi" w:hAnsiTheme="minorHAnsi" w:cs="TimesNewRoman"/>
          <w:b/>
          <w:sz w:val="22"/>
          <w:szCs w:val="22"/>
          <w:lang w:eastAsia="en-US"/>
        </w:rPr>
      </w:pPr>
      <w:r w:rsidRPr="00E57854">
        <w:rPr>
          <w:rFonts w:asciiTheme="minorHAnsi" w:hAnsiTheme="minorHAnsi" w:cs="TimesNewRoman"/>
          <w:b/>
          <w:sz w:val="22"/>
          <w:szCs w:val="22"/>
          <w:lang w:eastAsia="en-US"/>
        </w:rPr>
        <w:t>kW max per maand</w:t>
      </w:r>
      <w:r w:rsidRPr="00E57854">
        <w:rPr>
          <w:rFonts w:asciiTheme="minorHAnsi" w:hAnsiTheme="minorHAnsi" w:cs="TimesNewRoman"/>
          <w:sz w:val="22"/>
          <w:szCs w:val="22"/>
          <w:lang w:eastAsia="en-US"/>
        </w:rPr>
        <w:t xml:space="preserve"> </w:t>
      </w:r>
    </w:p>
    <w:p w14:paraId="1EDC294C"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r w:rsidRPr="00E57854">
        <w:rPr>
          <w:rFonts w:asciiTheme="minorHAnsi" w:hAnsiTheme="minorHAnsi" w:cs="TimesNewRoman"/>
          <w:sz w:val="22"/>
          <w:szCs w:val="22"/>
          <w:lang w:eastAsia="en-US"/>
        </w:rPr>
        <w:t>De vergoeding voor maximale belasting is verschuldigd over het hoogste vermogen (kW) waarvan de verbruiker op enig moment in een maand gebruik heeft gemaakt, bepaald door middel van een maximum meter met kwartierschakeling.</w:t>
      </w:r>
    </w:p>
    <w:p w14:paraId="7F28FE42" w14:textId="77777777" w:rsidR="00E16FE7" w:rsidRPr="00E57854" w:rsidRDefault="00E16FE7" w:rsidP="00E16FE7">
      <w:pPr>
        <w:autoSpaceDE w:val="0"/>
        <w:autoSpaceDN w:val="0"/>
        <w:adjustRightInd w:val="0"/>
        <w:jc w:val="both"/>
        <w:rPr>
          <w:rFonts w:asciiTheme="minorHAnsi" w:hAnsiTheme="minorHAnsi" w:cs="TimesNewRoman"/>
          <w:b/>
          <w:sz w:val="22"/>
          <w:szCs w:val="22"/>
          <w:lang w:eastAsia="en-US"/>
        </w:rPr>
      </w:pPr>
    </w:p>
    <w:p w14:paraId="62AF1CEA"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r w:rsidRPr="00E57854">
        <w:rPr>
          <w:rFonts w:asciiTheme="minorHAnsi" w:hAnsiTheme="minorHAnsi" w:cs="TimesNewRoman"/>
          <w:b/>
          <w:sz w:val="22"/>
          <w:szCs w:val="22"/>
          <w:lang w:eastAsia="en-US"/>
        </w:rPr>
        <w:t>kW gecontracteerd</w:t>
      </w:r>
      <w:r w:rsidRPr="00E57854">
        <w:rPr>
          <w:rFonts w:asciiTheme="minorHAnsi" w:hAnsiTheme="minorHAnsi" w:cs="TimesNewRoman"/>
          <w:sz w:val="22"/>
          <w:szCs w:val="22"/>
          <w:lang w:eastAsia="en-US"/>
        </w:rPr>
        <w:t xml:space="preserve"> </w:t>
      </w:r>
    </w:p>
    <w:p w14:paraId="72F52F6C"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r w:rsidRPr="00E57854">
        <w:rPr>
          <w:rFonts w:asciiTheme="minorHAnsi" w:hAnsiTheme="minorHAnsi" w:cs="TimesNewRoman"/>
          <w:sz w:val="22"/>
          <w:szCs w:val="22"/>
          <w:lang w:eastAsia="en-US"/>
        </w:rPr>
        <w:t>In gezamenlijk overleg zal het maximaal benodigd vermogen worden vastgelegd op basis van afnamen uit het verleden en de verwachtingen voor het komende jaar.</w:t>
      </w:r>
    </w:p>
    <w:p w14:paraId="43292A16"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r w:rsidRPr="00E57854">
        <w:rPr>
          <w:rFonts w:asciiTheme="minorHAnsi" w:hAnsiTheme="minorHAnsi" w:cs="TimesNewRoman"/>
          <w:sz w:val="22"/>
          <w:szCs w:val="22"/>
          <w:lang w:eastAsia="en-US"/>
        </w:rPr>
        <w:t xml:space="preserve">Indien de leverancier/netgebruiker, voor zover mogelijk, een hoeveelheid elektriciteit laat transporteren, die de omvang van de gecontracteerde transportcapaciteit overschrijdt, dan wordt de gecontracteerde transportcapaciteit aangepast aan de werkelijk gemeten hoogste transportcapaciteit in de maand van de overschrijding. </w:t>
      </w:r>
      <w:r w:rsidRPr="00E57854">
        <w:rPr>
          <w:rFonts w:asciiTheme="minorHAnsi" w:hAnsiTheme="minorHAnsi" w:cs="Verdana"/>
          <w:iCs/>
          <w:sz w:val="22"/>
          <w:szCs w:val="22"/>
          <w:lang w:eastAsia="en-US"/>
        </w:rPr>
        <w:t>In uw aansluit- en transportovereenkomst is beschreven wanneer en op welke manier deze gecontracteerde capaciteit zal worden aangepast na een overschrijding van de bestaande gecontracteerde capaciteit.</w:t>
      </w:r>
    </w:p>
    <w:p w14:paraId="1D405E8B" w14:textId="77777777" w:rsidR="00E16FE7" w:rsidRPr="00E57854" w:rsidRDefault="00E16FE7" w:rsidP="00E16FE7">
      <w:pPr>
        <w:autoSpaceDE w:val="0"/>
        <w:autoSpaceDN w:val="0"/>
        <w:adjustRightInd w:val="0"/>
        <w:jc w:val="both"/>
        <w:rPr>
          <w:rFonts w:asciiTheme="minorHAnsi" w:hAnsiTheme="minorHAnsi" w:cs="TimesNewRoman"/>
          <w:b/>
          <w:sz w:val="22"/>
          <w:szCs w:val="22"/>
          <w:lang w:eastAsia="en-US"/>
        </w:rPr>
      </w:pPr>
    </w:p>
    <w:p w14:paraId="4977B816"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r w:rsidRPr="00E57854">
        <w:rPr>
          <w:rFonts w:asciiTheme="minorHAnsi" w:hAnsiTheme="minorHAnsi" w:cs="TimesNewRoman"/>
          <w:b/>
          <w:sz w:val="22"/>
          <w:szCs w:val="22"/>
          <w:lang w:eastAsia="en-US"/>
        </w:rPr>
        <w:t>Blindverbruik</w:t>
      </w:r>
    </w:p>
    <w:p w14:paraId="10DE09AC" w14:textId="77777777" w:rsidR="00E16FE7" w:rsidRPr="00E57854" w:rsidRDefault="00E16FE7" w:rsidP="00E16FE7">
      <w:pPr>
        <w:autoSpaceDE w:val="0"/>
        <w:autoSpaceDN w:val="0"/>
        <w:adjustRightInd w:val="0"/>
        <w:jc w:val="both"/>
        <w:rPr>
          <w:rFonts w:asciiTheme="minorHAnsi" w:hAnsiTheme="minorHAnsi" w:cs="TimesNewRoman"/>
          <w:sz w:val="22"/>
          <w:szCs w:val="22"/>
          <w:lang w:eastAsia="en-US"/>
        </w:rPr>
      </w:pPr>
      <w:r w:rsidRPr="00E57854">
        <w:rPr>
          <w:rFonts w:asciiTheme="minorHAnsi" w:hAnsiTheme="minorHAnsi" w:cs="TimesNewRoman"/>
          <w:sz w:val="22"/>
          <w:szCs w:val="22"/>
          <w:lang w:eastAsia="en-US"/>
        </w:rPr>
        <w:t xml:space="preserve">Het tarief voor blindverbruik wordt in rekening gebracht indien de arbeidsfactor buiten de grenzen valt zoals vastgelegd in de </w:t>
      </w:r>
      <w:proofErr w:type="spellStart"/>
      <w:r w:rsidRPr="00E57854">
        <w:rPr>
          <w:rFonts w:asciiTheme="minorHAnsi" w:hAnsiTheme="minorHAnsi" w:cs="TimesNewRoman"/>
          <w:sz w:val="22"/>
          <w:szCs w:val="22"/>
          <w:lang w:eastAsia="en-US"/>
        </w:rPr>
        <w:t>Netcode</w:t>
      </w:r>
      <w:proofErr w:type="spellEnd"/>
      <w:r w:rsidRPr="00E57854">
        <w:rPr>
          <w:rFonts w:asciiTheme="minorHAnsi" w:hAnsiTheme="minorHAnsi" w:cs="TimesNewRoman"/>
          <w:sz w:val="22"/>
          <w:szCs w:val="22"/>
          <w:lang w:eastAsia="en-US"/>
        </w:rPr>
        <w:t xml:space="preserve"> Elektriciteit artikel 2.1.5.6 en 2.1.5.6.a. </w:t>
      </w:r>
    </w:p>
    <w:p w14:paraId="3125D19E" w14:textId="77777777" w:rsidR="00E16FE7" w:rsidRDefault="00E16FE7">
      <w:pPr>
        <w:spacing w:line="280" w:lineRule="atLeast"/>
      </w:pPr>
      <w:r>
        <w:br w:type="page"/>
      </w:r>
    </w:p>
    <w:p w14:paraId="12E774D7" w14:textId="77777777" w:rsidR="00E16FE7" w:rsidRDefault="00E16FE7" w:rsidP="00E16FE7">
      <w:pPr>
        <w:jc w:val="both"/>
        <w:rPr>
          <w:rFonts w:asciiTheme="minorHAnsi" w:hAnsiTheme="minorHAnsi"/>
          <w:b/>
          <w:sz w:val="28"/>
          <w:szCs w:val="28"/>
        </w:rPr>
      </w:pPr>
      <w:r w:rsidRPr="006D0969">
        <w:rPr>
          <w:rFonts w:asciiTheme="minorHAnsi" w:hAnsiTheme="minorHAnsi"/>
          <w:b/>
          <w:sz w:val="28"/>
          <w:szCs w:val="28"/>
        </w:rPr>
        <w:lastRenderedPageBreak/>
        <w:t>PERIODIEKE AANSLUITVERGOEDINGEN</w:t>
      </w:r>
    </w:p>
    <w:p w14:paraId="547A18CC" w14:textId="535B6255" w:rsidR="00E16FE7" w:rsidRPr="006D0969" w:rsidRDefault="00D52BD5" w:rsidP="00E16FE7">
      <w:pPr>
        <w:jc w:val="both"/>
        <w:rPr>
          <w:rFonts w:asciiTheme="minorHAnsi" w:hAnsiTheme="minorHAnsi"/>
          <w:b/>
          <w:sz w:val="28"/>
          <w:szCs w:val="28"/>
        </w:rPr>
      </w:pPr>
      <w:r>
        <w:rPr>
          <w:rFonts w:asciiTheme="minorHAnsi" w:hAnsiTheme="minorHAnsi"/>
          <w:b/>
          <w:sz w:val="28"/>
          <w:szCs w:val="28"/>
        </w:rPr>
        <w:t xml:space="preserve">ELEKTRICITEIT GROOTVERBRUIK </w:t>
      </w:r>
      <w:r w:rsidR="007B4930">
        <w:rPr>
          <w:rFonts w:asciiTheme="minorHAnsi" w:hAnsiTheme="minorHAnsi"/>
          <w:b/>
          <w:sz w:val="28"/>
          <w:szCs w:val="28"/>
        </w:rPr>
        <w:t>202</w:t>
      </w:r>
      <w:r w:rsidR="003135F4">
        <w:rPr>
          <w:rFonts w:asciiTheme="minorHAnsi" w:hAnsiTheme="minorHAnsi"/>
          <w:b/>
          <w:sz w:val="28"/>
          <w:szCs w:val="28"/>
        </w:rPr>
        <w:t>2</w:t>
      </w:r>
    </w:p>
    <w:p w14:paraId="6B1628E4" w14:textId="77777777" w:rsidR="00E16FE7" w:rsidRPr="006D0969" w:rsidRDefault="00E16FE7" w:rsidP="00E16FE7">
      <w:pPr>
        <w:jc w:val="both"/>
        <w:rPr>
          <w:rFonts w:asciiTheme="minorHAnsi" w:hAnsiTheme="minorHAnsi"/>
          <w:sz w:val="22"/>
          <w:szCs w:val="22"/>
        </w:rPr>
      </w:pPr>
    </w:p>
    <w:p w14:paraId="4C2BAA6A" w14:textId="77777777" w:rsidR="00E16FE7" w:rsidRPr="006D0969" w:rsidRDefault="00E16FE7" w:rsidP="00E16FE7">
      <w:pPr>
        <w:autoSpaceDE w:val="0"/>
        <w:autoSpaceDN w:val="0"/>
        <w:adjustRightInd w:val="0"/>
        <w:jc w:val="both"/>
        <w:rPr>
          <w:rFonts w:asciiTheme="minorHAnsi" w:hAnsiTheme="minorHAnsi" w:cs="TimesNewRoman"/>
          <w:sz w:val="22"/>
          <w:szCs w:val="22"/>
          <w:lang w:eastAsia="en-US"/>
        </w:rPr>
      </w:pPr>
      <w:r w:rsidRPr="006D0969">
        <w:rPr>
          <w:rFonts w:asciiTheme="minorHAnsi" w:hAnsiTheme="minorHAnsi" w:cs="TimesNewRoman"/>
          <w:sz w:val="22"/>
          <w:szCs w:val="22"/>
          <w:lang w:eastAsia="en-US"/>
        </w:rPr>
        <w:t>Dit is de vaste vergoeding voor het aanleggen, onderhouden en vervangen van de elektriciteitsaansluiting. Een elektriciteitsaansluiting is de noodzakelijke verbinding tussen het elektriciteitsnet (hoofdnet) en de elektriciteitsmeter.</w:t>
      </w:r>
    </w:p>
    <w:p w14:paraId="42357A73" w14:textId="77777777" w:rsidR="00E16FE7" w:rsidRPr="006D0969" w:rsidRDefault="00E16FE7" w:rsidP="00E16FE7">
      <w:pPr>
        <w:jc w:val="both"/>
        <w:rPr>
          <w:rFonts w:asciiTheme="minorHAnsi" w:hAnsiTheme="minorHAnsi"/>
          <w:sz w:val="22"/>
          <w:szCs w:val="22"/>
        </w:rPr>
      </w:pPr>
    </w:p>
    <w:p w14:paraId="18A774BB" w14:textId="77777777" w:rsidR="00E16FE7" w:rsidRPr="006D0969" w:rsidRDefault="00E16FE7" w:rsidP="00E16FE7">
      <w:pPr>
        <w:rPr>
          <w:rFonts w:asciiTheme="minorHAnsi" w:hAnsiTheme="minorHAnsi"/>
        </w:rPr>
      </w:pPr>
    </w:p>
    <w:tbl>
      <w:tblPr>
        <w:tblW w:w="0" w:type="auto"/>
        <w:tblLook w:val="04A0" w:firstRow="1" w:lastRow="0" w:firstColumn="1" w:lastColumn="0" w:noHBand="0" w:noVBand="1"/>
      </w:tblPr>
      <w:tblGrid>
        <w:gridCol w:w="5778"/>
        <w:gridCol w:w="2668"/>
      </w:tblGrid>
      <w:tr w:rsidR="00457B65" w:rsidRPr="006D0969" w14:paraId="2ACA852C" w14:textId="77777777" w:rsidTr="003B494B">
        <w:tc>
          <w:tcPr>
            <w:tcW w:w="5778" w:type="dxa"/>
            <w:tcBorders>
              <w:bottom w:val="single" w:sz="4" w:space="0" w:color="auto"/>
              <w:right w:val="single" w:sz="4" w:space="0" w:color="auto"/>
            </w:tcBorders>
          </w:tcPr>
          <w:p w14:paraId="6B35F370" w14:textId="77777777" w:rsidR="00457B65" w:rsidRPr="006D0969" w:rsidRDefault="00457B65" w:rsidP="003B494B">
            <w:pPr>
              <w:jc w:val="both"/>
              <w:rPr>
                <w:rFonts w:asciiTheme="minorHAnsi" w:hAnsiTheme="minorHAnsi"/>
                <w:b/>
                <w:sz w:val="22"/>
                <w:szCs w:val="22"/>
              </w:rPr>
            </w:pPr>
            <w:r w:rsidRPr="006D0969">
              <w:rPr>
                <w:rFonts w:asciiTheme="minorHAnsi" w:hAnsiTheme="minorHAnsi"/>
                <w:b/>
                <w:sz w:val="22"/>
                <w:szCs w:val="22"/>
              </w:rPr>
              <w:t>Wat</w:t>
            </w:r>
          </w:p>
        </w:tc>
        <w:tc>
          <w:tcPr>
            <w:tcW w:w="2668" w:type="dxa"/>
            <w:tcBorders>
              <w:left w:val="single" w:sz="4" w:space="0" w:color="auto"/>
              <w:bottom w:val="single" w:sz="4" w:space="0" w:color="auto"/>
            </w:tcBorders>
          </w:tcPr>
          <w:p w14:paraId="0FC8F0CC" w14:textId="77777777" w:rsidR="00457B65" w:rsidRPr="006D0969" w:rsidRDefault="00457B65" w:rsidP="003B494B">
            <w:pPr>
              <w:jc w:val="both"/>
              <w:rPr>
                <w:rFonts w:asciiTheme="minorHAnsi" w:hAnsiTheme="minorHAnsi"/>
                <w:b/>
                <w:sz w:val="22"/>
                <w:szCs w:val="22"/>
              </w:rPr>
            </w:pPr>
            <w:r w:rsidRPr="006D0969">
              <w:rPr>
                <w:rFonts w:asciiTheme="minorHAnsi" w:hAnsiTheme="minorHAnsi"/>
                <w:b/>
                <w:sz w:val="22"/>
                <w:szCs w:val="22"/>
              </w:rPr>
              <w:t>Bedrag (excl. 21% BTW)</w:t>
            </w:r>
          </w:p>
        </w:tc>
      </w:tr>
      <w:tr w:rsidR="00CA4372" w:rsidRPr="006D0969" w14:paraId="78A1E1B4" w14:textId="77777777" w:rsidTr="003B494B">
        <w:tc>
          <w:tcPr>
            <w:tcW w:w="5778" w:type="dxa"/>
            <w:tcBorders>
              <w:top w:val="single" w:sz="4" w:space="0" w:color="auto"/>
              <w:bottom w:val="single" w:sz="4" w:space="0" w:color="auto"/>
              <w:right w:val="single" w:sz="4" w:space="0" w:color="auto"/>
            </w:tcBorders>
          </w:tcPr>
          <w:p w14:paraId="3663B244" w14:textId="77777777" w:rsidR="00CA4372" w:rsidRPr="00D52BD5" w:rsidRDefault="00CA4372" w:rsidP="00D52BD5">
            <w:pPr>
              <w:jc w:val="both"/>
              <w:rPr>
                <w:rFonts w:asciiTheme="minorHAnsi" w:hAnsiTheme="minorHAnsi"/>
                <w:sz w:val="22"/>
                <w:szCs w:val="22"/>
              </w:rPr>
            </w:pPr>
            <w:r w:rsidRPr="00D52BD5">
              <w:rPr>
                <w:rFonts w:asciiTheme="minorHAnsi" w:hAnsiTheme="minorHAnsi"/>
                <w:sz w:val="22"/>
                <w:szCs w:val="22"/>
              </w:rPr>
              <w:t>&gt; Aansluiting LS &gt; 3x80A t/m 3x225A per jaar</w:t>
            </w:r>
          </w:p>
        </w:tc>
        <w:tc>
          <w:tcPr>
            <w:tcW w:w="2668" w:type="dxa"/>
            <w:tcBorders>
              <w:top w:val="single" w:sz="4" w:space="0" w:color="auto"/>
              <w:left w:val="single" w:sz="4" w:space="0" w:color="auto"/>
              <w:bottom w:val="single" w:sz="4" w:space="0" w:color="auto"/>
            </w:tcBorders>
          </w:tcPr>
          <w:p w14:paraId="29BAA6E8" w14:textId="1DA9AEE5" w:rsidR="00CA4372" w:rsidRPr="005760C2" w:rsidRDefault="00C61DFE" w:rsidP="00D52BD5">
            <w:pPr>
              <w:jc w:val="both"/>
              <w:rPr>
                <w:rFonts w:asciiTheme="minorHAnsi" w:hAnsiTheme="minorHAnsi"/>
                <w:sz w:val="22"/>
                <w:szCs w:val="22"/>
              </w:rPr>
            </w:pPr>
            <w:r w:rsidRPr="005760C2">
              <w:rPr>
                <w:rFonts w:asciiTheme="minorHAnsi" w:hAnsiTheme="minorHAnsi"/>
                <w:sz w:val="22"/>
                <w:szCs w:val="22"/>
              </w:rPr>
              <w:t xml:space="preserve">€ </w:t>
            </w:r>
            <w:r w:rsidRPr="005760C2">
              <w:rPr>
                <w:rFonts w:asciiTheme="minorHAnsi" w:hAnsiTheme="minorHAnsi"/>
                <w:sz w:val="22"/>
                <w:szCs w:val="22"/>
              </w:rPr>
              <w:t>104,1294</w:t>
            </w:r>
          </w:p>
        </w:tc>
      </w:tr>
      <w:tr w:rsidR="00CA4372" w:rsidRPr="006D0969" w14:paraId="78EF63F7" w14:textId="77777777" w:rsidTr="003B494B">
        <w:tc>
          <w:tcPr>
            <w:tcW w:w="5778" w:type="dxa"/>
            <w:tcBorders>
              <w:top w:val="single" w:sz="4" w:space="0" w:color="auto"/>
              <w:bottom w:val="single" w:sz="4" w:space="0" w:color="auto"/>
              <w:right w:val="single" w:sz="4" w:space="0" w:color="auto"/>
            </w:tcBorders>
          </w:tcPr>
          <w:p w14:paraId="755CA4E8" w14:textId="77777777" w:rsidR="00CA4372" w:rsidRPr="00D52BD5" w:rsidRDefault="00CA4372" w:rsidP="00D52BD5">
            <w:pPr>
              <w:jc w:val="both"/>
              <w:rPr>
                <w:rFonts w:asciiTheme="minorHAnsi" w:hAnsiTheme="minorHAnsi"/>
                <w:sz w:val="22"/>
                <w:szCs w:val="22"/>
              </w:rPr>
            </w:pPr>
            <w:r w:rsidRPr="00D52BD5">
              <w:rPr>
                <w:rFonts w:asciiTheme="minorHAnsi" w:hAnsiTheme="minorHAnsi"/>
                <w:sz w:val="22"/>
                <w:szCs w:val="22"/>
              </w:rPr>
              <w:t>&gt; Aansluiting transformator MS/LS &gt; 3x225A t/m 1,2 MVA per jaar</w:t>
            </w:r>
          </w:p>
        </w:tc>
        <w:tc>
          <w:tcPr>
            <w:tcW w:w="2668" w:type="dxa"/>
            <w:tcBorders>
              <w:top w:val="single" w:sz="4" w:space="0" w:color="auto"/>
              <w:left w:val="single" w:sz="4" w:space="0" w:color="auto"/>
              <w:bottom w:val="single" w:sz="4" w:space="0" w:color="auto"/>
            </w:tcBorders>
          </w:tcPr>
          <w:p w14:paraId="7E2F557C" w14:textId="426F7EC1" w:rsidR="00CA4372" w:rsidRPr="005760C2" w:rsidRDefault="00CA4372" w:rsidP="00D52BD5">
            <w:pPr>
              <w:jc w:val="both"/>
              <w:rPr>
                <w:rFonts w:asciiTheme="minorHAnsi" w:hAnsiTheme="minorHAnsi"/>
                <w:sz w:val="22"/>
                <w:szCs w:val="22"/>
              </w:rPr>
            </w:pPr>
            <w:r w:rsidRPr="005760C2">
              <w:rPr>
                <w:rFonts w:asciiTheme="minorHAnsi" w:hAnsiTheme="minorHAnsi"/>
                <w:sz w:val="22"/>
                <w:szCs w:val="22"/>
              </w:rPr>
              <w:t xml:space="preserve">€ </w:t>
            </w:r>
            <w:r w:rsidR="00B16F9C" w:rsidRPr="005760C2">
              <w:rPr>
                <w:rFonts w:asciiTheme="minorHAnsi" w:hAnsiTheme="minorHAnsi"/>
                <w:sz w:val="22"/>
                <w:szCs w:val="22"/>
              </w:rPr>
              <w:t>351,6036</w:t>
            </w:r>
          </w:p>
        </w:tc>
      </w:tr>
      <w:tr w:rsidR="00CA4372" w:rsidRPr="006D0969" w14:paraId="07896324" w14:textId="77777777" w:rsidTr="003B494B">
        <w:tc>
          <w:tcPr>
            <w:tcW w:w="5778" w:type="dxa"/>
            <w:tcBorders>
              <w:top w:val="single" w:sz="4" w:space="0" w:color="auto"/>
              <w:bottom w:val="single" w:sz="4" w:space="0" w:color="auto"/>
              <w:right w:val="single" w:sz="4" w:space="0" w:color="auto"/>
            </w:tcBorders>
          </w:tcPr>
          <w:p w14:paraId="12DAE68E" w14:textId="77777777" w:rsidR="00CA4372" w:rsidRPr="00D52BD5" w:rsidRDefault="00CA4372" w:rsidP="00D52BD5">
            <w:pPr>
              <w:jc w:val="both"/>
              <w:rPr>
                <w:rFonts w:asciiTheme="minorHAnsi" w:hAnsiTheme="minorHAnsi"/>
                <w:sz w:val="22"/>
                <w:szCs w:val="22"/>
              </w:rPr>
            </w:pPr>
            <w:r w:rsidRPr="00D52BD5">
              <w:rPr>
                <w:rFonts w:asciiTheme="minorHAnsi" w:hAnsiTheme="minorHAnsi"/>
                <w:sz w:val="22"/>
                <w:szCs w:val="22"/>
              </w:rPr>
              <w:t>&gt; Aansluiting MS/MS &gt; 1,2 MVA t/m 3,0 MVA per jaar</w:t>
            </w:r>
          </w:p>
        </w:tc>
        <w:tc>
          <w:tcPr>
            <w:tcW w:w="2668" w:type="dxa"/>
            <w:tcBorders>
              <w:top w:val="single" w:sz="4" w:space="0" w:color="auto"/>
              <w:left w:val="single" w:sz="4" w:space="0" w:color="auto"/>
              <w:bottom w:val="single" w:sz="4" w:space="0" w:color="auto"/>
            </w:tcBorders>
          </w:tcPr>
          <w:p w14:paraId="72CB97BF" w14:textId="2A555B63" w:rsidR="00CA4372" w:rsidRPr="005760C2" w:rsidRDefault="00CA4372" w:rsidP="00D52BD5">
            <w:pPr>
              <w:jc w:val="both"/>
              <w:rPr>
                <w:rFonts w:asciiTheme="minorHAnsi" w:hAnsiTheme="minorHAnsi"/>
                <w:sz w:val="22"/>
                <w:szCs w:val="22"/>
              </w:rPr>
            </w:pPr>
            <w:r w:rsidRPr="005760C2">
              <w:rPr>
                <w:rFonts w:asciiTheme="minorHAnsi" w:hAnsiTheme="minorHAnsi"/>
                <w:sz w:val="22"/>
                <w:szCs w:val="22"/>
              </w:rPr>
              <w:t xml:space="preserve">€ </w:t>
            </w:r>
            <w:r w:rsidR="00B16F9C" w:rsidRPr="005760C2">
              <w:rPr>
                <w:rFonts w:asciiTheme="minorHAnsi" w:hAnsiTheme="minorHAnsi"/>
                <w:sz w:val="22"/>
                <w:szCs w:val="22"/>
              </w:rPr>
              <w:t>404,2319</w:t>
            </w:r>
          </w:p>
        </w:tc>
      </w:tr>
      <w:tr w:rsidR="00CA4372" w:rsidRPr="006D0969" w14:paraId="56565CDD" w14:textId="77777777" w:rsidTr="003B494B">
        <w:tc>
          <w:tcPr>
            <w:tcW w:w="5778" w:type="dxa"/>
            <w:tcBorders>
              <w:top w:val="single" w:sz="4" w:space="0" w:color="auto"/>
              <w:bottom w:val="single" w:sz="4" w:space="0" w:color="auto"/>
              <w:right w:val="single" w:sz="4" w:space="0" w:color="auto"/>
            </w:tcBorders>
          </w:tcPr>
          <w:p w14:paraId="3CAD0D28" w14:textId="77777777" w:rsidR="00CA4372" w:rsidRPr="00D52BD5" w:rsidRDefault="00CA4372" w:rsidP="00D52BD5">
            <w:pPr>
              <w:jc w:val="both"/>
              <w:rPr>
                <w:rFonts w:asciiTheme="minorHAnsi" w:hAnsiTheme="minorHAnsi"/>
                <w:sz w:val="22"/>
                <w:szCs w:val="22"/>
              </w:rPr>
            </w:pPr>
            <w:r w:rsidRPr="00D52BD5">
              <w:rPr>
                <w:rFonts w:asciiTheme="minorHAnsi" w:hAnsiTheme="minorHAnsi"/>
                <w:sz w:val="22"/>
                <w:szCs w:val="22"/>
              </w:rPr>
              <w:t>&gt; Aansluiting MS/MS &gt; 3,0 MVA t/m 6,0 MVA per jaar</w:t>
            </w:r>
          </w:p>
        </w:tc>
        <w:tc>
          <w:tcPr>
            <w:tcW w:w="2668" w:type="dxa"/>
            <w:tcBorders>
              <w:top w:val="single" w:sz="4" w:space="0" w:color="auto"/>
              <w:left w:val="single" w:sz="4" w:space="0" w:color="auto"/>
              <w:bottom w:val="single" w:sz="4" w:space="0" w:color="auto"/>
            </w:tcBorders>
          </w:tcPr>
          <w:p w14:paraId="55DE9065" w14:textId="44274B87" w:rsidR="00CA4372" w:rsidRPr="005760C2" w:rsidRDefault="00CA4372" w:rsidP="00D52BD5">
            <w:pPr>
              <w:jc w:val="both"/>
              <w:rPr>
                <w:rFonts w:asciiTheme="minorHAnsi" w:hAnsiTheme="minorHAnsi"/>
                <w:sz w:val="22"/>
                <w:szCs w:val="22"/>
              </w:rPr>
            </w:pPr>
            <w:r w:rsidRPr="005760C2">
              <w:rPr>
                <w:rFonts w:asciiTheme="minorHAnsi" w:hAnsiTheme="minorHAnsi"/>
                <w:sz w:val="22"/>
                <w:szCs w:val="22"/>
              </w:rPr>
              <w:t xml:space="preserve">€ </w:t>
            </w:r>
            <w:r w:rsidR="00B16F9C" w:rsidRPr="005760C2">
              <w:rPr>
                <w:rFonts w:asciiTheme="minorHAnsi" w:hAnsiTheme="minorHAnsi"/>
                <w:sz w:val="22"/>
                <w:szCs w:val="22"/>
              </w:rPr>
              <w:t>1</w:t>
            </w:r>
            <w:r w:rsidR="005760C2" w:rsidRPr="005760C2">
              <w:rPr>
                <w:rFonts w:asciiTheme="minorHAnsi" w:hAnsiTheme="minorHAnsi"/>
                <w:sz w:val="22"/>
                <w:szCs w:val="22"/>
              </w:rPr>
              <w:t>.</w:t>
            </w:r>
            <w:r w:rsidR="00B16F9C" w:rsidRPr="005760C2">
              <w:rPr>
                <w:rFonts w:asciiTheme="minorHAnsi" w:hAnsiTheme="minorHAnsi"/>
                <w:sz w:val="22"/>
                <w:szCs w:val="22"/>
              </w:rPr>
              <w:t>069,616</w:t>
            </w:r>
          </w:p>
        </w:tc>
      </w:tr>
      <w:tr w:rsidR="00CA4372" w:rsidRPr="006D0969" w14:paraId="34BB4676" w14:textId="77777777" w:rsidTr="003B494B">
        <w:tc>
          <w:tcPr>
            <w:tcW w:w="5778" w:type="dxa"/>
            <w:tcBorders>
              <w:top w:val="single" w:sz="4" w:space="0" w:color="auto"/>
              <w:right w:val="single" w:sz="4" w:space="0" w:color="auto"/>
            </w:tcBorders>
          </w:tcPr>
          <w:p w14:paraId="4A3572E2" w14:textId="77777777" w:rsidR="00CA4372" w:rsidRPr="00D52BD5" w:rsidRDefault="00CA4372" w:rsidP="00D52BD5">
            <w:pPr>
              <w:jc w:val="both"/>
              <w:rPr>
                <w:rFonts w:asciiTheme="minorHAnsi" w:hAnsiTheme="minorHAnsi"/>
                <w:sz w:val="22"/>
                <w:szCs w:val="22"/>
              </w:rPr>
            </w:pPr>
            <w:r w:rsidRPr="00D52BD5">
              <w:rPr>
                <w:rFonts w:asciiTheme="minorHAnsi" w:hAnsiTheme="minorHAnsi"/>
                <w:sz w:val="22"/>
                <w:szCs w:val="22"/>
              </w:rPr>
              <w:t>&gt; Aansluiting MS/MS &gt; 6,0 MVA t/m 10,0 MVA per jaar</w:t>
            </w:r>
          </w:p>
        </w:tc>
        <w:tc>
          <w:tcPr>
            <w:tcW w:w="2668" w:type="dxa"/>
            <w:tcBorders>
              <w:top w:val="single" w:sz="4" w:space="0" w:color="auto"/>
              <w:left w:val="single" w:sz="4" w:space="0" w:color="auto"/>
            </w:tcBorders>
          </w:tcPr>
          <w:p w14:paraId="7F8537D1" w14:textId="0311278F" w:rsidR="00CA4372" w:rsidRPr="005760C2" w:rsidRDefault="00CA4372" w:rsidP="00D52BD5">
            <w:pPr>
              <w:jc w:val="both"/>
              <w:rPr>
                <w:rFonts w:asciiTheme="minorHAnsi" w:hAnsiTheme="minorHAnsi"/>
                <w:sz w:val="22"/>
                <w:szCs w:val="22"/>
              </w:rPr>
            </w:pPr>
            <w:r w:rsidRPr="005760C2">
              <w:rPr>
                <w:rFonts w:asciiTheme="minorHAnsi" w:hAnsiTheme="minorHAnsi"/>
                <w:sz w:val="22"/>
                <w:szCs w:val="22"/>
              </w:rPr>
              <w:t xml:space="preserve">€ </w:t>
            </w:r>
            <w:r w:rsidR="005760C2" w:rsidRPr="005760C2">
              <w:rPr>
                <w:rFonts w:asciiTheme="minorHAnsi" w:hAnsiTheme="minorHAnsi"/>
                <w:sz w:val="22"/>
                <w:szCs w:val="22"/>
              </w:rPr>
              <w:t>7</w:t>
            </w:r>
            <w:r w:rsidR="005760C2" w:rsidRPr="005760C2">
              <w:rPr>
                <w:rFonts w:asciiTheme="minorHAnsi" w:hAnsiTheme="minorHAnsi"/>
                <w:sz w:val="22"/>
                <w:szCs w:val="22"/>
              </w:rPr>
              <w:t>.</w:t>
            </w:r>
            <w:r w:rsidR="005760C2" w:rsidRPr="005760C2">
              <w:rPr>
                <w:rFonts w:asciiTheme="minorHAnsi" w:hAnsiTheme="minorHAnsi"/>
                <w:sz w:val="22"/>
                <w:szCs w:val="22"/>
              </w:rPr>
              <w:t>417,3304</w:t>
            </w:r>
          </w:p>
        </w:tc>
      </w:tr>
      <w:tr w:rsidR="00CA4372" w:rsidRPr="006D0969" w14:paraId="074F76FC" w14:textId="77777777" w:rsidTr="003B494B">
        <w:tc>
          <w:tcPr>
            <w:tcW w:w="5778" w:type="dxa"/>
            <w:tcBorders>
              <w:top w:val="single" w:sz="4" w:space="0" w:color="auto"/>
              <w:bottom w:val="single" w:sz="4" w:space="0" w:color="auto"/>
              <w:right w:val="single" w:sz="4" w:space="0" w:color="auto"/>
            </w:tcBorders>
          </w:tcPr>
          <w:p w14:paraId="0F8AE853" w14:textId="77777777" w:rsidR="00CA4372" w:rsidRPr="00D52BD5" w:rsidRDefault="00CA4372" w:rsidP="00D52BD5">
            <w:pPr>
              <w:jc w:val="both"/>
              <w:rPr>
                <w:rFonts w:asciiTheme="minorHAnsi" w:hAnsiTheme="minorHAnsi"/>
                <w:sz w:val="22"/>
                <w:szCs w:val="22"/>
              </w:rPr>
            </w:pPr>
            <w:r w:rsidRPr="00D52BD5">
              <w:rPr>
                <w:rFonts w:asciiTheme="minorHAnsi" w:hAnsiTheme="minorHAnsi"/>
                <w:sz w:val="22"/>
                <w:szCs w:val="22"/>
              </w:rPr>
              <w:t xml:space="preserve">&gt; Aansluiting MS/MS Periodieke aansluitvergoeding </w:t>
            </w:r>
            <w:proofErr w:type="spellStart"/>
            <w:r w:rsidRPr="00D52BD5">
              <w:rPr>
                <w:rFonts w:asciiTheme="minorHAnsi" w:hAnsiTheme="minorHAnsi"/>
                <w:sz w:val="22"/>
                <w:szCs w:val="22"/>
              </w:rPr>
              <w:t>meerlengte</w:t>
            </w:r>
            <w:proofErr w:type="spellEnd"/>
            <w:r w:rsidRPr="00D52BD5">
              <w:rPr>
                <w:rFonts w:asciiTheme="minorHAnsi" w:hAnsiTheme="minorHAnsi"/>
                <w:sz w:val="22"/>
                <w:szCs w:val="22"/>
              </w:rPr>
              <w:t xml:space="preserve"> per meter &gt; 25 meter voor aansluiting ( &gt; 3,0 MVA t/m 6,0 MVA) per jaar</w:t>
            </w:r>
          </w:p>
        </w:tc>
        <w:tc>
          <w:tcPr>
            <w:tcW w:w="2668" w:type="dxa"/>
            <w:tcBorders>
              <w:top w:val="single" w:sz="4" w:space="0" w:color="auto"/>
              <w:left w:val="single" w:sz="4" w:space="0" w:color="auto"/>
              <w:bottom w:val="single" w:sz="4" w:space="0" w:color="auto"/>
            </w:tcBorders>
          </w:tcPr>
          <w:p w14:paraId="5EFF6841" w14:textId="004C5366" w:rsidR="00CA4372" w:rsidRPr="005760C2" w:rsidRDefault="005760C2" w:rsidP="00D52BD5">
            <w:pPr>
              <w:jc w:val="both"/>
              <w:rPr>
                <w:rFonts w:asciiTheme="minorHAnsi" w:hAnsiTheme="minorHAnsi"/>
                <w:sz w:val="22"/>
                <w:szCs w:val="22"/>
              </w:rPr>
            </w:pPr>
            <w:r w:rsidRPr="005760C2">
              <w:rPr>
                <w:rFonts w:asciiTheme="minorHAnsi" w:hAnsiTheme="minorHAnsi"/>
                <w:sz w:val="22"/>
                <w:szCs w:val="22"/>
              </w:rPr>
              <w:t xml:space="preserve">€ </w:t>
            </w:r>
            <w:r w:rsidRPr="005760C2">
              <w:rPr>
                <w:rFonts w:asciiTheme="minorHAnsi" w:hAnsiTheme="minorHAnsi"/>
                <w:sz w:val="22"/>
                <w:szCs w:val="22"/>
              </w:rPr>
              <w:t>1,9513</w:t>
            </w:r>
          </w:p>
        </w:tc>
      </w:tr>
      <w:tr w:rsidR="00CA4372" w:rsidRPr="006D0969" w14:paraId="25831889" w14:textId="77777777" w:rsidTr="003B494B">
        <w:tc>
          <w:tcPr>
            <w:tcW w:w="5778" w:type="dxa"/>
            <w:tcBorders>
              <w:top w:val="single" w:sz="4" w:space="0" w:color="auto"/>
              <w:right w:val="single" w:sz="4" w:space="0" w:color="auto"/>
            </w:tcBorders>
          </w:tcPr>
          <w:p w14:paraId="0E944E35" w14:textId="77777777" w:rsidR="00CA4372" w:rsidRPr="00D52BD5" w:rsidRDefault="00CA4372" w:rsidP="00D52BD5">
            <w:pPr>
              <w:jc w:val="both"/>
              <w:rPr>
                <w:rFonts w:asciiTheme="minorHAnsi" w:hAnsiTheme="minorHAnsi"/>
                <w:sz w:val="22"/>
                <w:szCs w:val="22"/>
              </w:rPr>
            </w:pPr>
            <w:r w:rsidRPr="00D52BD5">
              <w:rPr>
                <w:rFonts w:asciiTheme="minorHAnsi" w:hAnsiTheme="minorHAnsi"/>
                <w:sz w:val="22"/>
                <w:szCs w:val="22"/>
              </w:rPr>
              <w:t xml:space="preserve">&gt; Aansluiting MS/MS Periodieke aansluitvergoeding </w:t>
            </w:r>
            <w:proofErr w:type="spellStart"/>
            <w:r w:rsidRPr="00D52BD5">
              <w:rPr>
                <w:rFonts w:asciiTheme="minorHAnsi" w:hAnsiTheme="minorHAnsi"/>
                <w:sz w:val="22"/>
                <w:szCs w:val="22"/>
              </w:rPr>
              <w:t>meerlengte</w:t>
            </w:r>
            <w:proofErr w:type="spellEnd"/>
            <w:r w:rsidRPr="00D52BD5">
              <w:rPr>
                <w:rFonts w:asciiTheme="minorHAnsi" w:hAnsiTheme="minorHAnsi"/>
                <w:sz w:val="22"/>
                <w:szCs w:val="22"/>
              </w:rPr>
              <w:t xml:space="preserve"> per meter &gt; 25 meter voor aansluiting ( &gt; 6,0 MVA t/m 10,0 MVA) per jaar</w:t>
            </w:r>
          </w:p>
        </w:tc>
        <w:tc>
          <w:tcPr>
            <w:tcW w:w="2668" w:type="dxa"/>
            <w:tcBorders>
              <w:top w:val="single" w:sz="4" w:space="0" w:color="auto"/>
              <w:left w:val="single" w:sz="4" w:space="0" w:color="auto"/>
            </w:tcBorders>
          </w:tcPr>
          <w:p w14:paraId="6A89049E" w14:textId="6DDA0AB6" w:rsidR="00CA4372" w:rsidRPr="005760C2" w:rsidRDefault="00CA4372" w:rsidP="00D52BD5">
            <w:pPr>
              <w:jc w:val="both"/>
              <w:rPr>
                <w:rFonts w:asciiTheme="minorHAnsi" w:hAnsiTheme="minorHAnsi"/>
                <w:sz w:val="22"/>
                <w:szCs w:val="22"/>
              </w:rPr>
            </w:pPr>
            <w:r w:rsidRPr="005760C2">
              <w:rPr>
                <w:rFonts w:asciiTheme="minorHAnsi" w:hAnsiTheme="minorHAnsi"/>
                <w:sz w:val="22"/>
                <w:szCs w:val="22"/>
              </w:rPr>
              <w:t xml:space="preserve">€ </w:t>
            </w:r>
            <w:r w:rsidR="005760C2" w:rsidRPr="005760C2">
              <w:rPr>
                <w:rFonts w:asciiTheme="minorHAnsi" w:hAnsiTheme="minorHAnsi"/>
                <w:sz w:val="22"/>
                <w:szCs w:val="22"/>
              </w:rPr>
              <w:t>4,6699</w:t>
            </w:r>
          </w:p>
        </w:tc>
      </w:tr>
    </w:tbl>
    <w:p w14:paraId="31511244" w14:textId="77777777" w:rsidR="00323C0D" w:rsidRPr="00E16FE7" w:rsidRDefault="00323C0D" w:rsidP="00D52BD5">
      <w:pPr>
        <w:spacing w:before="150" w:after="150"/>
      </w:pPr>
    </w:p>
    <w:sectPr w:rsidR="00323C0D" w:rsidRPr="00E16FE7" w:rsidSect="00A7223A">
      <w:headerReference w:type="default" r:id="rId11"/>
      <w:headerReference w:type="first" r:id="rId12"/>
      <w:pgSz w:w="11906" w:h="16838" w:code="9"/>
      <w:pgMar w:top="561" w:right="1418" w:bottom="561" w:left="1418" w:header="561" w:footer="53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38BC" w14:textId="77777777" w:rsidR="00E16FE7" w:rsidRDefault="00E16FE7" w:rsidP="004F6112">
      <w:r>
        <w:separator/>
      </w:r>
    </w:p>
  </w:endnote>
  <w:endnote w:type="continuationSeparator" w:id="0">
    <w:p w14:paraId="57538758" w14:textId="77777777" w:rsidR="00E16FE7" w:rsidRDefault="00E16FE7" w:rsidP="004F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705">
    <w:altName w:val="Calibri"/>
    <w:panose1 w:val="00000000000000000000"/>
    <w:charset w:val="00"/>
    <w:family w:val="auto"/>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9D98" w14:textId="77777777" w:rsidR="00E16FE7" w:rsidRDefault="00E16FE7" w:rsidP="004F6112">
      <w:r>
        <w:separator/>
      </w:r>
    </w:p>
  </w:footnote>
  <w:footnote w:type="continuationSeparator" w:id="0">
    <w:p w14:paraId="61A7B957" w14:textId="77777777" w:rsidR="00E16FE7" w:rsidRDefault="00E16FE7" w:rsidP="004F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4B12" w14:textId="77777777" w:rsidR="000E7199" w:rsidRDefault="000E7199" w:rsidP="00A7223A">
    <w:pPr>
      <w:spacing w:line="2020" w:lineRule="exact"/>
    </w:pPr>
    <w:r>
      <w:rPr>
        <w:noProof/>
      </w:rPr>
      <w:drawing>
        <wp:anchor distT="0" distB="0" distL="114300" distR="114300" simplePos="0" relativeHeight="251661312" behindDoc="1" locked="1" layoutInCell="1" allowOverlap="1" wp14:anchorId="4FD96EA1" wp14:editId="6375ED2E">
          <wp:simplePos x="0" y="0"/>
          <wp:positionH relativeFrom="page">
            <wp:posOffset>532765</wp:posOffset>
          </wp:positionH>
          <wp:positionV relativeFrom="page">
            <wp:posOffset>467995</wp:posOffset>
          </wp:positionV>
          <wp:extent cx="1869480" cy="675720"/>
          <wp:effectExtent l="0" t="0" r="0" b="0"/>
          <wp:wrapNone/>
          <wp:docPr id="2" name="Logo_volg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eq_RGB.emf"/>
                  <pic:cNvPicPr/>
                </pic:nvPicPr>
                <pic:blipFill>
                  <a:blip r:embed="rId1">
                    <a:extLst>
                      <a:ext uri="{28A0092B-C50C-407E-A947-70E740481C1C}">
                        <a14:useLocalDpi xmlns:a14="http://schemas.microsoft.com/office/drawing/2010/main" val="0"/>
                      </a:ext>
                    </a:extLst>
                  </a:blip>
                  <a:stretch>
                    <a:fillRect/>
                  </a:stretch>
                </pic:blipFill>
                <pic:spPr>
                  <a:xfrm>
                    <a:off x="0" y="0"/>
                    <a:ext cx="1869480" cy="675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88E6" w14:textId="77777777" w:rsidR="000E7199" w:rsidRDefault="000E7199" w:rsidP="004B6D29">
    <w:pPr>
      <w:pStyle w:val="Koptekst"/>
      <w:spacing w:line="2292" w:lineRule="exact"/>
    </w:pPr>
    <w:r>
      <w:rPr>
        <w:noProof/>
      </w:rPr>
      <w:drawing>
        <wp:anchor distT="0" distB="0" distL="114300" distR="114300" simplePos="0" relativeHeight="251659264" behindDoc="1" locked="1" layoutInCell="1" allowOverlap="1" wp14:anchorId="4FD96EA1" wp14:editId="6375ED2E">
          <wp:simplePos x="0" y="0"/>
          <wp:positionH relativeFrom="page">
            <wp:posOffset>532765</wp:posOffset>
          </wp:positionH>
          <wp:positionV relativeFrom="page">
            <wp:posOffset>467995</wp:posOffset>
          </wp:positionV>
          <wp:extent cx="1869480" cy="675720"/>
          <wp:effectExtent l="0" t="0" r="0" b="0"/>
          <wp:wrapNone/>
          <wp:docPr id="19" name="Logo_voor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eq_RGB.emf"/>
                  <pic:cNvPicPr/>
                </pic:nvPicPr>
                <pic:blipFill>
                  <a:blip r:embed="rId1">
                    <a:extLst>
                      <a:ext uri="{28A0092B-C50C-407E-A947-70E740481C1C}">
                        <a14:useLocalDpi xmlns:a14="http://schemas.microsoft.com/office/drawing/2010/main" val="0"/>
                      </a:ext>
                    </a:extLst>
                  </a:blip>
                  <a:stretch>
                    <a:fillRect/>
                  </a:stretch>
                </pic:blipFill>
                <pic:spPr>
                  <a:xfrm>
                    <a:off x="0" y="0"/>
                    <a:ext cx="1869480" cy="675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C63"/>
    <w:multiLevelType w:val="hybridMultilevel"/>
    <w:tmpl w:val="41A6DF66"/>
    <w:lvl w:ilvl="0" w:tplc="1B108F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CE41DA"/>
    <w:multiLevelType w:val="multilevel"/>
    <w:tmpl w:val="2AD0CD5E"/>
    <w:numStyleLink w:val="stlOpsomming"/>
  </w:abstractNum>
  <w:abstractNum w:abstractNumId="2" w15:restartNumberingAfterBreak="0">
    <w:nsid w:val="25624DDA"/>
    <w:multiLevelType w:val="hybridMultilevel"/>
    <w:tmpl w:val="312AA7FE"/>
    <w:lvl w:ilvl="0" w:tplc="EC5042EE">
      <w:start w:val="1"/>
      <w:numFmt w:val="decimal"/>
      <w:lvlText w:val="%1."/>
      <w:lvlJc w:val="left"/>
      <w:pPr>
        <w:ind w:left="360" w:hanging="360"/>
      </w:pPr>
      <w:rPr>
        <w:rFonts w:asciiTheme="minorHAnsi" w:hAnsiTheme="minorHAnsi" w:cs="Times New Roman" w:hint="default"/>
        <w:b/>
        <w:i w:val="0"/>
        <w:strike w:val="0"/>
        <w:dstrike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E583096"/>
    <w:multiLevelType w:val="multilevel"/>
    <w:tmpl w:val="2AD0CD5E"/>
    <w:numStyleLink w:val="stlOpsomming"/>
  </w:abstractNum>
  <w:abstractNum w:abstractNumId="4" w15:restartNumberingAfterBreak="0">
    <w:nsid w:val="56C87F3E"/>
    <w:multiLevelType w:val="multilevel"/>
    <w:tmpl w:val="6464D44C"/>
    <w:styleLink w:val="stlSMTRepor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8A20196"/>
    <w:multiLevelType w:val="multilevel"/>
    <w:tmpl w:val="412EE67C"/>
    <w:numStyleLink w:val="stlLetters"/>
  </w:abstractNum>
  <w:abstractNum w:abstractNumId="6" w15:restartNumberingAfterBreak="0">
    <w:nsid w:val="5C7F405A"/>
    <w:multiLevelType w:val="multilevel"/>
    <w:tmpl w:val="412EE67C"/>
    <w:styleLink w:val="stlLetters"/>
    <w:lvl w:ilvl="0">
      <w:start w:val="1"/>
      <w:numFmt w:val="lowerLetter"/>
      <w:lvlText w:val="%1"/>
      <w:lvlJc w:val="left"/>
      <w:pPr>
        <w:ind w:left="567" w:hanging="283"/>
      </w:pPr>
      <w:rPr>
        <w:rFonts w:hint="default"/>
      </w:rPr>
    </w:lvl>
    <w:lvl w:ilvl="1">
      <w:start w:val="1"/>
      <w:numFmt w:val="bullet"/>
      <w:lvlText w:val="•"/>
      <w:lvlJc w:val="left"/>
      <w:pPr>
        <w:ind w:left="851" w:hanging="283"/>
      </w:pPr>
      <w:rPr>
        <w:rFonts w:ascii="font705" w:hAnsi="font705" w:hint="default"/>
        <w:color w:val="auto"/>
      </w:rPr>
    </w:lvl>
    <w:lvl w:ilvl="2">
      <w:start w:val="1"/>
      <w:numFmt w:val="lowerLetter"/>
      <w:lvlText w:val="%3"/>
      <w:lvlJc w:val="left"/>
      <w:pPr>
        <w:ind w:left="1135" w:hanging="283"/>
      </w:pPr>
      <w:rPr>
        <w:rFonts w:hint="default"/>
      </w:rPr>
    </w:lvl>
    <w:lvl w:ilvl="3">
      <w:start w:val="1"/>
      <w:numFmt w:val="bullet"/>
      <w:lvlText w:val="•"/>
      <w:lvlJc w:val="left"/>
      <w:pPr>
        <w:ind w:left="1419" w:hanging="283"/>
      </w:pPr>
      <w:rPr>
        <w:rFonts w:ascii="font705" w:hAnsi="font705" w:hint="default"/>
        <w:color w:val="auto"/>
      </w:rPr>
    </w:lvl>
    <w:lvl w:ilvl="4">
      <w:start w:val="1"/>
      <w:numFmt w:val="lowerLetter"/>
      <w:lvlText w:val="%5"/>
      <w:lvlJc w:val="left"/>
      <w:pPr>
        <w:ind w:left="1703" w:hanging="283"/>
      </w:pPr>
      <w:rPr>
        <w:rFonts w:hint="default"/>
      </w:rPr>
    </w:lvl>
    <w:lvl w:ilvl="5">
      <w:start w:val="1"/>
      <w:numFmt w:val="bullet"/>
      <w:lvlText w:val="•"/>
      <w:lvlJc w:val="left"/>
      <w:pPr>
        <w:ind w:left="1987" w:hanging="286"/>
      </w:pPr>
      <w:rPr>
        <w:rFonts w:ascii="font705" w:hAnsi="font705" w:hint="default"/>
        <w:color w:val="auto"/>
      </w:rPr>
    </w:lvl>
    <w:lvl w:ilvl="6">
      <w:start w:val="1"/>
      <w:numFmt w:val="lowerLetter"/>
      <w:lvlText w:val="%7"/>
      <w:lvlJc w:val="left"/>
      <w:pPr>
        <w:ind w:left="2268" w:hanging="283"/>
      </w:pPr>
      <w:rPr>
        <w:rFonts w:hint="default"/>
      </w:rPr>
    </w:lvl>
    <w:lvl w:ilvl="7">
      <w:start w:val="1"/>
      <w:numFmt w:val="bullet"/>
      <w:lvlText w:val="•"/>
      <w:lvlJc w:val="left"/>
      <w:pPr>
        <w:ind w:left="2552" w:hanging="284"/>
      </w:pPr>
      <w:rPr>
        <w:rFonts w:ascii="font705" w:hAnsi="font705" w:hint="default"/>
        <w:color w:val="auto"/>
      </w:rPr>
    </w:lvl>
    <w:lvl w:ilvl="8">
      <w:start w:val="1"/>
      <w:numFmt w:val="lowerLetter"/>
      <w:lvlText w:val="%9"/>
      <w:lvlJc w:val="left"/>
      <w:pPr>
        <w:ind w:left="2835" w:hanging="283"/>
      </w:pPr>
      <w:rPr>
        <w:rFonts w:hint="default"/>
      </w:rPr>
    </w:lvl>
  </w:abstractNum>
  <w:abstractNum w:abstractNumId="7" w15:restartNumberingAfterBreak="0">
    <w:nsid w:val="63452BA0"/>
    <w:multiLevelType w:val="multilevel"/>
    <w:tmpl w:val="14183794"/>
    <w:styleLink w:val="stlSMTBullets"/>
    <w:lvl w:ilvl="0">
      <w:start w:val="1"/>
      <w:numFmt w:val="bullet"/>
      <w:lvlText w:val=""/>
      <w:lvlJc w:val="left"/>
      <w:pPr>
        <w:ind w:left="425" w:hanging="425"/>
      </w:pPr>
      <w:rPr>
        <w:rFonts w:ascii="Wingdings" w:hAnsi="Wingdings" w:hint="default"/>
        <w:color w:val="4472C4" w:themeColor="accent1"/>
        <w:sz w:val="18"/>
      </w:rPr>
    </w:lvl>
    <w:lvl w:ilvl="1">
      <w:start w:val="1"/>
      <w:numFmt w:val="bullet"/>
      <w:lvlText w:val=""/>
      <w:lvlJc w:val="left"/>
      <w:pPr>
        <w:ind w:left="850" w:hanging="425"/>
      </w:pPr>
      <w:rPr>
        <w:rFonts w:ascii="Wingdings" w:hAnsi="Wingdings" w:hint="default"/>
        <w:b/>
        <w:i w:val="0"/>
        <w:color w:val="575757"/>
        <w:sz w:val="18"/>
      </w:rPr>
    </w:lvl>
    <w:lvl w:ilvl="2">
      <w:start w:val="1"/>
      <w:numFmt w:val="bullet"/>
      <w:lvlText w:val=""/>
      <w:lvlJc w:val="left"/>
      <w:pPr>
        <w:ind w:left="1275" w:hanging="425"/>
      </w:pPr>
      <w:rPr>
        <w:rFonts w:ascii="Wingdings" w:hAnsi="Wingdings" w:hint="default"/>
        <w:color w:val="575757"/>
        <w:sz w:val="18"/>
      </w:rPr>
    </w:lvl>
    <w:lvl w:ilvl="3">
      <w:start w:val="1"/>
      <w:numFmt w:val="bullet"/>
      <w:lvlText w:val=""/>
      <w:lvlJc w:val="left"/>
      <w:pPr>
        <w:ind w:left="1700" w:hanging="425"/>
      </w:pPr>
      <w:rPr>
        <w:rFonts w:ascii="Wingdings" w:hAnsi="Wingdings" w:hint="default"/>
        <w:b/>
        <w:i w:val="0"/>
        <w:color w:val="575757"/>
        <w:sz w:val="18"/>
      </w:rPr>
    </w:lvl>
    <w:lvl w:ilvl="4">
      <w:start w:val="1"/>
      <w:numFmt w:val="bullet"/>
      <w:lvlText w:val=""/>
      <w:lvlJc w:val="left"/>
      <w:pPr>
        <w:ind w:left="2125" w:hanging="425"/>
      </w:pPr>
      <w:rPr>
        <w:rFonts w:ascii="Wingdings" w:hAnsi="Wingdings" w:hint="default"/>
        <w:color w:val="575757"/>
        <w:sz w:val="18"/>
      </w:rPr>
    </w:lvl>
    <w:lvl w:ilvl="5">
      <w:start w:val="1"/>
      <w:numFmt w:val="bullet"/>
      <w:lvlText w:val=""/>
      <w:lvlJc w:val="left"/>
      <w:pPr>
        <w:ind w:left="2550" w:hanging="425"/>
      </w:pPr>
      <w:rPr>
        <w:rFonts w:ascii="Wingdings" w:hAnsi="Wingdings" w:hint="default"/>
        <w:b/>
        <w:i w:val="0"/>
        <w:color w:val="575757"/>
        <w:sz w:val="18"/>
      </w:rPr>
    </w:lvl>
    <w:lvl w:ilvl="6">
      <w:start w:val="1"/>
      <w:numFmt w:val="bullet"/>
      <w:lvlText w:val=""/>
      <w:lvlJc w:val="left"/>
      <w:pPr>
        <w:ind w:left="2975" w:hanging="425"/>
      </w:pPr>
      <w:rPr>
        <w:rFonts w:ascii="Wingdings" w:hAnsi="Wingdings" w:hint="default"/>
        <w:color w:val="575757"/>
        <w:sz w:val="18"/>
      </w:rPr>
    </w:lvl>
    <w:lvl w:ilvl="7">
      <w:start w:val="1"/>
      <w:numFmt w:val="bullet"/>
      <w:lvlText w:val=""/>
      <w:lvlJc w:val="left"/>
      <w:pPr>
        <w:ind w:left="3400" w:hanging="425"/>
      </w:pPr>
      <w:rPr>
        <w:rFonts w:ascii="Wingdings" w:hAnsi="Wingdings" w:hint="default"/>
        <w:b/>
        <w:i w:val="0"/>
        <w:color w:val="575757"/>
        <w:sz w:val="18"/>
      </w:rPr>
    </w:lvl>
    <w:lvl w:ilvl="8">
      <w:start w:val="1"/>
      <w:numFmt w:val="bullet"/>
      <w:lvlText w:val=""/>
      <w:lvlJc w:val="left"/>
      <w:pPr>
        <w:ind w:left="3825" w:hanging="425"/>
      </w:pPr>
      <w:rPr>
        <w:rFonts w:ascii="Wingdings" w:hAnsi="Wingdings" w:hint="default"/>
        <w:color w:val="575757"/>
        <w:sz w:val="18"/>
      </w:rPr>
    </w:lvl>
  </w:abstractNum>
  <w:abstractNum w:abstractNumId="8" w15:restartNumberingAfterBreak="0">
    <w:nsid w:val="72160134"/>
    <w:multiLevelType w:val="multilevel"/>
    <w:tmpl w:val="2AD0CD5E"/>
    <w:styleLink w:val="stlOpsomming"/>
    <w:lvl w:ilvl="0">
      <w:start w:val="1"/>
      <w:numFmt w:val="bullet"/>
      <w:lvlText w:val="•"/>
      <w:lvlJc w:val="left"/>
      <w:pPr>
        <w:ind w:left="284" w:hanging="284"/>
      </w:pPr>
      <w:rPr>
        <w:rFonts w:ascii="Calibri" w:hAnsi="Calibri" w:hint="default"/>
        <w:color w:val="EE2E27"/>
      </w:rPr>
    </w:lvl>
    <w:lvl w:ilvl="1">
      <w:start w:val="1"/>
      <w:numFmt w:val="bullet"/>
      <w:lvlText w:val="-"/>
      <w:lvlJc w:val="left"/>
      <w:pPr>
        <w:ind w:left="567" w:hanging="283"/>
      </w:pPr>
      <w:rPr>
        <w:rFonts w:ascii="Calibri" w:hAnsi="Calibri" w:hint="default"/>
        <w:color w:val="000000" w:themeColor="text1"/>
      </w:rPr>
    </w:lvl>
    <w:lvl w:ilvl="2">
      <w:start w:val="1"/>
      <w:numFmt w:val="bullet"/>
      <w:lvlText w:val="•"/>
      <w:lvlJc w:val="left"/>
      <w:pPr>
        <w:ind w:left="851" w:hanging="284"/>
      </w:pPr>
      <w:rPr>
        <w:rFonts w:ascii="Calibri" w:hAnsi="Calibri" w:hint="default"/>
        <w:color w:val="000000" w:themeColor="text1"/>
      </w:rPr>
    </w:lvl>
    <w:lvl w:ilvl="3">
      <w:start w:val="1"/>
      <w:numFmt w:val="bullet"/>
      <w:lvlText w:val="•"/>
      <w:lvlJc w:val="left"/>
      <w:pPr>
        <w:ind w:left="1134" w:hanging="283"/>
      </w:pPr>
      <w:rPr>
        <w:rFonts w:ascii="Calibri" w:hAnsi="Calibri" w:hint="default"/>
        <w:color w:val="000000" w:themeColor="text1"/>
      </w:rPr>
    </w:lvl>
    <w:lvl w:ilvl="4">
      <w:start w:val="1"/>
      <w:numFmt w:val="bullet"/>
      <w:lvlText w:val="•"/>
      <w:lvlJc w:val="left"/>
      <w:pPr>
        <w:ind w:left="1418" w:hanging="284"/>
      </w:pPr>
      <w:rPr>
        <w:rFonts w:ascii="Calibri" w:hAnsi="Calibri" w:hint="default"/>
        <w:color w:val="000000" w:themeColor="text1"/>
      </w:rPr>
    </w:lvl>
    <w:lvl w:ilvl="5">
      <w:start w:val="1"/>
      <w:numFmt w:val="bullet"/>
      <w:lvlText w:val="•"/>
      <w:lvlJc w:val="left"/>
      <w:pPr>
        <w:ind w:left="1701" w:hanging="283"/>
      </w:pPr>
      <w:rPr>
        <w:rFonts w:ascii="Calibri" w:hAnsi="Calibri" w:hint="default"/>
        <w:color w:val="000000" w:themeColor="text1"/>
      </w:rPr>
    </w:lvl>
    <w:lvl w:ilvl="6">
      <w:start w:val="1"/>
      <w:numFmt w:val="bullet"/>
      <w:lvlText w:val="•"/>
      <w:lvlJc w:val="left"/>
      <w:pPr>
        <w:ind w:left="1985" w:hanging="284"/>
      </w:pPr>
      <w:rPr>
        <w:rFonts w:ascii="Calibri" w:hAnsi="Calibri" w:hint="default"/>
        <w:color w:val="000000" w:themeColor="text1"/>
      </w:rPr>
    </w:lvl>
    <w:lvl w:ilvl="7">
      <w:start w:val="1"/>
      <w:numFmt w:val="bullet"/>
      <w:lvlText w:val="•"/>
      <w:lvlJc w:val="left"/>
      <w:pPr>
        <w:ind w:left="2268" w:hanging="283"/>
      </w:pPr>
      <w:rPr>
        <w:rFonts w:ascii="Calibri" w:hAnsi="Calibri" w:hint="default"/>
        <w:color w:val="000000" w:themeColor="text1"/>
      </w:rPr>
    </w:lvl>
    <w:lvl w:ilvl="8">
      <w:start w:val="1"/>
      <w:numFmt w:val="bullet"/>
      <w:lvlText w:val="•"/>
      <w:lvlJc w:val="left"/>
      <w:pPr>
        <w:ind w:left="2552" w:hanging="284"/>
      </w:pPr>
      <w:rPr>
        <w:rFonts w:ascii="Calibri" w:hAnsi="Calibri" w:hint="default"/>
        <w:color w:val="000000" w:themeColor="text1"/>
      </w:rPr>
    </w:lvl>
  </w:abstractNum>
  <w:abstractNum w:abstractNumId="9" w15:restartNumberingAfterBreak="0">
    <w:nsid w:val="76C70716"/>
    <w:multiLevelType w:val="multilevel"/>
    <w:tmpl w:val="2AD0CD5E"/>
    <w:numStyleLink w:val="stlOpsomming"/>
  </w:abstractNum>
  <w:abstractNum w:abstractNumId="10" w15:restartNumberingAfterBreak="0">
    <w:nsid w:val="7F813E99"/>
    <w:multiLevelType w:val="multilevel"/>
    <w:tmpl w:val="D8FCC28C"/>
    <w:styleLink w:val="stlLegal"/>
    <w:lvl w:ilvl="0">
      <w:start w:val="1"/>
      <w:numFmt w:val="decimal"/>
      <w:lvlText w:val="%1."/>
      <w:lvlJc w:val="left"/>
      <w:pPr>
        <w:ind w:left="567" w:hanging="567"/>
      </w:pPr>
      <w:rPr>
        <w:rFonts w:asciiTheme="majorHAnsi" w:hAnsiTheme="majorHAnsi" w:hint="default"/>
        <w:b w:val="0"/>
        <w:sz w:val="20"/>
      </w:rPr>
    </w:lvl>
    <w:lvl w:ilvl="1">
      <w:start w:val="1"/>
      <w:numFmt w:val="decimal"/>
      <w:isLgl/>
      <w:lvlText w:val="%1.%2"/>
      <w:lvlJc w:val="left"/>
      <w:pPr>
        <w:ind w:left="567" w:hanging="567"/>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num w:numId="1" w16cid:durableId="1149638386">
    <w:abstractNumId w:val="10"/>
  </w:num>
  <w:num w:numId="2" w16cid:durableId="1954435374">
    <w:abstractNumId w:val="7"/>
  </w:num>
  <w:num w:numId="3" w16cid:durableId="947615063">
    <w:abstractNumId w:val="4"/>
  </w:num>
  <w:num w:numId="4" w16cid:durableId="1929145506">
    <w:abstractNumId w:val="4"/>
  </w:num>
  <w:num w:numId="5" w16cid:durableId="1294024002">
    <w:abstractNumId w:val="4"/>
  </w:num>
  <w:num w:numId="6" w16cid:durableId="2024699211">
    <w:abstractNumId w:val="4"/>
  </w:num>
  <w:num w:numId="7" w16cid:durableId="769669085">
    <w:abstractNumId w:val="4"/>
  </w:num>
  <w:num w:numId="8" w16cid:durableId="1082868756">
    <w:abstractNumId w:val="7"/>
  </w:num>
  <w:num w:numId="9" w16cid:durableId="1852527540">
    <w:abstractNumId w:val="4"/>
  </w:num>
  <w:num w:numId="10" w16cid:durableId="455491495">
    <w:abstractNumId w:val="10"/>
  </w:num>
  <w:num w:numId="11" w16cid:durableId="1252082148">
    <w:abstractNumId w:val="10"/>
  </w:num>
  <w:num w:numId="12" w16cid:durableId="278609591">
    <w:abstractNumId w:val="8"/>
  </w:num>
  <w:num w:numId="13" w16cid:durableId="1706129493">
    <w:abstractNumId w:val="3"/>
  </w:num>
  <w:num w:numId="14" w16cid:durableId="2111394777">
    <w:abstractNumId w:val="9"/>
  </w:num>
  <w:num w:numId="15" w16cid:durableId="1223100990">
    <w:abstractNumId w:val="0"/>
  </w:num>
  <w:num w:numId="16" w16cid:durableId="1873880324">
    <w:abstractNumId w:val="1"/>
  </w:num>
  <w:num w:numId="17" w16cid:durableId="772549760">
    <w:abstractNumId w:val="6"/>
  </w:num>
  <w:num w:numId="18" w16cid:durableId="1312979271">
    <w:abstractNumId w:val="5"/>
  </w:num>
  <w:num w:numId="19" w16cid:durableId="1154100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28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FE7"/>
    <w:rsid w:val="00040BE1"/>
    <w:rsid w:val="00074759"/>
    <w:rsid w:val="00081BD2"/>
    <w:rsid w:val="000C3D10"/>
    <w:rsid w:val="000D1377"/>
    <w:rsid w:val="000E0745"/>
    <w:rsid w:val="000E7199"/>
    <w:rsid w:val="000F290C"/>
    <w:rsid w:val="000F54BD"/>
    <w:rsid w:val="00101891"/>
    <w:rsid w:val="00130D14"/>
    <w:rsid w:val="001347B5"/>
    <w:rsid w:val="0027100F"/>
    <w:rsid w:val="00297448"/>
    <w:rsid w:val="003135F4"/>
    <w:rsid w:val="00323C0D"/>
    <w:rsid w:val="00332F38"/>
    <w:rsid w:val="00365A52"/>
    <w:rsid w:val="00413D57"/>
    <w:rsid w:val="00457B65"/>
    <w:rsid w:val="00461941"/>
    <w:rsid w:val="0048563A"/>
    <w:rsid w:val="00487946"/>
    <w:rsid w:val="004B6D29"/>
    <w:rsid w:val="004F6112"/>
    <w:rsid w:val="0051411F"/>
    <w:rsid w:val="00517291"/>
    <w:rsid w:val="00544847"/>
    <w:rsid w:val="005760C2"/>
    <w:rsid w:val="0059007C"/>
    <w:rsid w:val="005B7B04"/>
    <w:rsid w:val="00631CC3"/>
    <w:rsid w:val="00647CF9"/>
    <w:rsid w:val="006526D4"/>
    <w:rsid w:val="006E43FD"/>
    <w:rsid w:val="007171A5"/>
    <w:rsid w:val="0073465F"/>
    <w:rsid w:val="00741A13"/>
    <w:rsid w:val="0075661F"/>
    <w:rsid w:val="007679A0"/>
    <w:rsid w:val="00771A4E"/>
    <w:rsid w:val="007764C3"/>
    <w:rsid w:val="007A4836"/>
    <w:rsid w:val="007B4930"/>
    <w:rsid w:val="007C4483"/>
    <w:rsid w:val="007D381D"/>
    <w:rsid w:val="007E2310"/>
    <w:rsid w:val="0080495D"/>
    <w:rsid w:val="0085148C"/>
    <w:rsid w:val="00852634"/>
    <w:rsid w:val="008776E0"/>
    <w:rsid w:val="00892037"/>
    <w:rsid w:val="00896278"/>
    <w:rsid w:val="008A527C"/>
    <w:rsid w:val="008D6099"/>
    <w:rsid w:val="0096085E"/>
    <w:rsid w:val="00970C0B"/>
    <w:rsid w:val="009B303F"/>
    <w:rsid w:val="009D5AB6"/>
    <w:rsid w:val="00A6775F"/>
    <w:rsid w:val="00A7223A"/>
    <w:rsid w:val="00AC61A4"/>
    <w:rsid w:val="00B16F9C"/>
    <w:rsid w:val="00B61BF9"/>
    <w:rsid w:val="00B85DB9"/>
    <w:rsid w:val="00BC72D2"/>
    <w:rsid w:val="00C41361"/>
    <w:rsid w:val="00C61DFE"/>
    <w:rsid w:val="00C66636"/>
    <w:rsid w:val="00C72ED8"/>
    <w:rsid w:val="00CA4372"/>
    <w:rsid w:val="00CB00A1"/>
    <w:rsid w:val="00CB16C3"/>
    <w:rsid w:val="00CE131C"/>
    <w:rsid w:val="00CE79CB"/>
    <w:rsid w:val="00D05276"/>
    <w:rsid w:val="00D50051"/>
    <w:rsid w:val="00D524F1"/>
    <w:rsid w:val="00D52BD5"/>
    <w:rsid w:val="00DF5ACA"/>
    <w:rsid w:val="00E16FE7"/>
    <w:rsid w:val="00E24A6E"/>
    <w:rsid w:val="00E5163B"/>
    <w:rsid w:val="00E52B7A"/>
    <w:rsid w:val="00E61826"/>
    <w:rsid w:val="00E62F2B"/>
    <w:rsid w:val="00E72090"/>
    <w:rsid w:val="00E84710"/>
    <w:rsid w:val="00E97EF8"/>
    <w:rsid w:val="00EB7021"/>
    <w:rsid w:val="00EE6023"/>
    <w:rsid w:val="00EF1514"/>
    <w:rsid w:val="00F03975"/>
    <w:rsid w:val="00F043A0"/>
    <w:rsid w:val="00F24CC9"/>
    <w:rsid w:val="00F3767A"/>
    <w:rsid w:val="00F7016F"/>
    <w:rsid w:val="00FA10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681DF6"/>
  <w15:chartTrackingRefBased/>
  <w15:docId w15:val="{8964D026-9D65-4E8F-AAE9-AA12C638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Cogas"/>
    <w:qFormat/>
    <w:rsid w:val="00E16FE7"/>
    <w:pPr>
      <w:spacing w:line="240" w:lineRule="auto"/>
    </w:pPr>
    <w:rPr>
      <w:rFonts w:ascii="Verdana" w:eastAsia="Times New Roman" w:hAnsi="Verdana" w:cs="Times New Roman"/>
      <w:sz w:val="20"/>
      <w:szCs w:val="24"/>
      <w:lang w:eastAsia="nl-NL"/>
    </w:rPr>
  </w:style>
  <w:style w:type="paragraph" w:styleId="Kop1">
    <w:name w:val="heading 1"/>
    <w:basedOn w:val="Standaard"/>
    <w:next w:val="stlAgendaPunt"/>
    <w:link w:val="Kop1Char"/>
    <w:uiPriority w:val="9"/>
    <w:qFormat/>
    <w:rsid w:val="008776E0"/>
    <w:pPr>
      <w:keepNext/>
      <w:keepLines/>
      <w:numPr>
        <w:numId w:val="9"/>
      </w:numPr>
      <w:spacing w:line="280" w:lineRule="exact"/>
      <w:ind w:left="284" w:hanging="284"/>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970C0B"/>
    <w:pPr>
      <w:keepNext/>
      <w:keepLines/>
      <w:numPr>
        <w:ilvl w:val="1"/>
        <w:numId w:val="9"/>
      </w:numPr>
      <w:spacing w:line="384" w:lineRule="atLeast"/>
      <w:outlineLvl w:val="1"/>
    </w:pPr>
    <w:rPr>
      <w:rFonts w:eastAsiaTheme="majorEastAsia" w:cstheme="majorBidi"/>
      <w:color w:val="4472C4" w:themeColor="accent1"/>
      <w:sz w:val="32"/>
      <w:szCs w:val="26"/>
    </w:rPr>
  </w:style>
  <w:style w:type="paragraph" w:styleId="Kop3">
    <w:name w:val="heading 3"/>
    <w:basedOn w:val="Standaard"/>
    <w:next w:val="Standaard"/>
    <w:link w:val="Kop3Char"/>
    <w:uiPriority w:val="9"/>
    <w:unhideWhenUsed/>
    <w:qFormat/>
    <w:rsid w:val="00970C0B"/>
    <w:pPr>
      <w:keepNext/>
      <w:keepLines/>
      <w:numPr>
        <w:ilvl w:val="2"/>
        <w:numId w:val="9"/>
      </w:numPr>
      <w:spacing w:line="384" w:lineRule="atLeast"/>
      <w:outlineLvl w:val="2"/>
    </w:pPr>
    <w:rPr>
      <w:rFonts w:eastAsiaTheme="majorEastAsia" w:cstheme="majorBidi"/>
      <w:color w:val="4472C4" w:themeColor="accent1"/>
      <w:sz w:val="28"/>
    </w:rPr>
  </w:style>
  <w:style w:type="paragraph" w:styleId="Kop4">
    <w:name w:val="heading 4"/>
    <w:basedOn w:val="Standaard"/>
    <w:next w:val="Standaard"/>
    <w:link w:val="Kop4Char"/>
    <w:uiPriority w:val="9"/>
    <w:unhideWhenUsed/>
    <w:qFormat/>
    <w:rsid w:val="00970C0B"/>
    <w:pPr>
      <w:keepNext/>
      <w:keepLines/>
      <w:numPr>
        <w:ilvl w:val="3"/>
        <w:numId w:val="9"/>
      </w:numPr>
      <w:spacing w:line="384" w:lineRule="atLeast"/>
      <w:outlineLvl w:val="3"/>
    </w:pPr>
    <w:rPr>
      <w:rFonts w:eastAsiaTheme="majorEastAsia" w:cstheme="majorBidi"/>
      <w:iCs/>
      <w:color w:val="4472C4" w:themeColor="accent1"/>
      <w:sz w:val="24"/>
    </w:rPr>
  </w:style>
  <w:style w:type="paragraph" w:styleId="Kop5">
    <w:name w:val="heading 5"/>
    <w:basedOn w:val="Standaard"/>
    <w:next w:val="Standaard"/>
    <w:link w:val="Kop5Char"/>
    <w:uiPriority w:val="9"/>
    <w:unhideWhenUsed/>
    <w:qFormat/>
    <w:rsid w:val="00970C0B"/>
    <w:pPr>
      <w:keepNext/>
      <w:keepLines/>
      <w:spacing w:before="40"/>
      <w:outlineLvl w:val="4"/>
    </w:pPr>
    <w:rPr>
      <w:rFonts w:eastAsiaTheme="majorEastAsia"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lLegal">
    <w:name w:val="stlLegal"/>
    <w:uiPriority w:val="99"/>
    <w:rsid w:val="00F3767A"/>
    <w:pPr>
      <w:numPr>
        <w:numId w:val="1"/>
      </w:numPr>
    </w:pPr>
  </w:style>
  <w:style w:type="paragraph" w:customStyle="1" w:styleId="stlReferentiekopje">
    <w:name w:val="stlReferentiekopje"/>
    <w:basedOn w:val="Standaard"/>
    <w:qFormat/>
    <w:rsid w:val="00896278"/>
    <w:rPr>
      <w:b/>
      <w:noProof/>
      <w:sz w:val="18"/>
    </w:rPr>
  </w:style>
  <w:style w:type="paragraph" w:customStyle="1" w:styleId="stlGeadresseerde">
    <w:name w:val="stlGeadresseerde"/>
    <w:basedOn w:val="Standaard"/>
    <w:qFormat/>
    <w:rsid w:val="0096085E"/>
    <w:pPr>
      <w:spacing w:line="280" w:lineRule="exact"/>
    </w:pPr>
    <w:rPr>
      <w:noProof/>
    </w:rPr>
  </w:style>
  <w:style w:type="paragraph" w:customStyle="1" w:styleId="stlVerzendinstructie">
    <w:name w:val="stlVerzendinstructie"/>
    <w:basedOn w:val="Standaard"/>
    <w:qFormat/>
    <w:rsid w:val="00297448"/>
    <w:pPr>
      <w:spacing w:line="280" w:lineRule="exact"/>
    </w:pPr>
    <w:rPr>
      <w:b/>
    </w:rPr>
  </w:style>
  <w:style w:type="paragraph" w:styleId="Voettekst">
    <w:name w:val="footer"/>
    <w:basedOn w:val="Standaard"/>
    <w:link w:val="VoettekstChar"/>
    <w:uiPriority w:val="99"/>
    <w:unhideWhenUsed/>
    <w:rsid w:val="00970C0B"/>
    <w:pPr>
      <w:tabs>
        <w:tab w:val="center" w:pos="4536"/>
        <w:tab w:val="right" w:pos="9072"/>
      </w:tabs>
    </w:pPr>
  </w:style>
  <w:style w:type="character" w:customStyle="1" w:styleId="VoettekstChar">
    <w:name w:val="Voettekst Char"/>
    <w:basedOn w:val="Standaardalinea-lettertype"/>
    <w:link w:val="Voettekst"/>
    <w:uiPriority w:val="99"/>
    <w:rsid w:val="00970C0B"/>
    <w:rPr>
      <w:rFonts w:asciiTheme="majorHAnsi" w:hAnsiTheme="majorHAnsi"/>
      <w:sz w:val="20"/>
      <w:szCs w:val="20"/>
    </w:rPr>
  </w:style>
  <w:style w:type="paragraph" w:customStyle="1" w:styleId="stlReferentiegegevens">
    <w:name w:val="stlReferentiegegevens"/>
    <w:basedOn w:val="Standaard"/>
    <w:qFormat/>
    <w:rsid w:val="00896278"/>
    <w:rPr>
      <w:noProof/>
      <w:sz w:val="18"/>
    </w:rPr>
  </w:style>
  <w:style w:type="paragraph" w:customStyle="1" w:styleId="stlAfzendgegevens">
    <w:name w:val="stlAfzendgegevens"/>
    <w:basedOn w:val="Standaard"/>
    <w:qFormat/>
    <w:rsid w:val="00896278"/>
    <w:pPr>
      <w:spacing w:before="40" w:line="240" w:lineRule="exact"/>
      <w:contextualSpacing/>
    </w:pPr>
    <w:rPr>
      <w:noProof/>
      <w:sz w:val="18"/>
    </w:rPr>
  </w:style>
  <w:style w:type="numbering" w:customStyle="1" w:styleId="stlSMTBullets">
    <w:name w:val="stlSMTBullets"/>
    <w:basedOn w:val="Geenlijst"/>
    <w:uiPriority w:val="99"/>
    <w:rsid w:val="00970C0B"/>
    <w:pPr>
      <w:numPr>
        <w:numId w:val="2"/>
      </w:numPr>
    </w:pPr>
  </w:style>
  <w:style w:type="paragraph" w:customStyle="1" w:styleId="stlTussenkopje">
    <w:name w:val="stlTussenkopje"/>
    <w:basedOn w:val="Standaard"/>
    <w:qFormat/>
    <w:rsid w:val="00332F38"/>
    <w:rPr>
      <w:b/>
      <w:lang w:val="de-AT"/>
    </w:rPr>
  </w:style>
  <w:style w:type="table" w:customStyle="1" w:styleId="stlSMTtable">
    <w:name w:val="stlSMTtable"/>
    <w:basedOn w:val="Standaardtabel"/>
    <w:uiPriority w:val="99"/>
    <w:rsid w:val="00970C0B"/>
    <w:tblPr>
      <w:tblStyleRowBandSize w:val="1"/>
      <w:tblStyleColBandSize w:val="1"/>
      <w:tblCellMar>
        <w:top w:w="28" w:type="dxa"/>
        <w:left w:w="57" w:type="dxa"/>
        <w:bottom w:w="28" w:type="dxa"/>
        <w:right w:w="57" w:type="dxa"/>
      </w:tblCellMar>
    </w:tblPr>
    <w:tblStylePr w:type="firstRow">
      <w:rPr>
        <w:rFonts w:asciiTheme="majorHAnsi" w:hAnsiTheme="majorHAnsi"/>
        <w:b/>
        <w:color w:val="FFFFFF" w:themeColor="background1"/>
      </w:rPr>
      <w:tblPr/>
      <w:tcPr>
        <w:tcBorders>
          <w:top w:val="nil"/>
          <w:left w:val="nil"/>
          <w:bottom w:val="nil"/>
          <w:right w:val="nil"/>
          <w:insideH w:val="nil"/>
          <w:insideV w:val="single" w:sz="24" w:space="0" w:color="FFFFFF"/>
          <w:tl2br w:val="nil"/>
          <w:tr2bl w:val="nil"/>
        </w:tcBorders>
        <w:shd w:val="clear" w:color="auto" w:fill="24388D"/>
      </w:tcPr>
    </w:tblStylePr>
    <w:tblStylePr w:type="lastRow">
      <w:tblPr/>
      <w:tcPr>
        <w:tcBorders>
          <w:top w:val="single" w:sz="24" w:space="0" w:color="FFFFFF"/>
          <w:left w:val="nil"/>
          <w:bottom w:val="nil"/>
          <w:right w:val="nil"/>
          <w:insideH w:val="nil"/>
          <w:insideV w:val="nil"/>
          <w:tl2br w:val="nil"/>
          <w:tr2bl w:val="nil"/>
        </w:tcBorders>
        <w:shd w:val="clear" w:color="auto" w:fill="919BC6"/>
      </w:tcPr>
    </w:tblStylePr>
    <w:tblStylePr w:type="band1Horz">
      <w:tblPr/>
      <w:tcPr>
        <w:tcBorders>
          <w:top w:val="nil"/>
          <w:left w:val="nil"/>
          <w:bottom w:val="nil"/>
          <w:right w:val="nil"/>
          <w:insideH w:val="nil"/>
          <w:insideV w:val="single" w:sz="24" w:space="0" w:color="FFFFFF"/>
          <w:tl2br w:val="nil"/>
          <w:tr2bl w:val="nil"/>
        </w:tcBorders>
        <w:shd w:val="clear" w:color="auto" w:fill="DEE1EE"/>
      </w:tcPr>
    </w:tblStylePr>
    <w:tblStylePr w:type="band2Horz">
      <w:tblPr/>
      <w:tcPr>
        <w:tcBorders>
          <w:top w:val="nil"/>
          <w:left w:val="nil"/>
          <w:bottom w:val="nil"/>
          <w:right w:val="nil"/>
          <w:insideH w:val="nil"/>
          <w:insideV w:val="single" w:sz="24" w:space="0" w:color="FFFFFF"/>
          <w:tl2br w:val="nil"/>
          <w:tr2bl w:val="nil"/>
        </w:tcBorders>
        <w:shd w:val="clear" w:color="auto" w:fill="EDEFF6"/>
      </w:tcPr>
    </w:tblStylePr>
  </w:style>
  <w:style w:type="numbering" w:customStyle="1" w:styleId="stlOpsomming">
    <w:name w:val="stlOpsomming"/>
    <w:uiPriority w:val="99"/>
    <w:rsid w:val="00081BD2"/>
    <w:pPr>
      <w:numPr>
        <w:numId w:val="12"/>
      </w:numPr>
    </w:pPr>
  </w:style>
  <w:style w:type="character" w:customStyle="1" w:styleId="stlDatum">
    <w:name w:val="stlDatum"/>
    <w:uiPriority w:val="1"/>
    <w:qFormat/>
    <w:rsid w:val="00AC61A4"/>
  </w:style>
  <w:style w:type="character" w:customStyle="1" w:styleId="stlOnsKenmerk">
    <w:name w:val="stlOnsKenmerk"/>
    <w:uiPriority w:val="1"/>
    <w:qFormat/>
    <w:rsid w:val="00AC61A4"/>
  </w:style>
  <w:style w:type="table" w:customStyle="1" w:styleId="stlSMTTableBW">
    <w:name w:val="stlSMTTableBW"/>
    <w:basedOn w:val="Standaardtabel"/>
    <w:uiPriority w:val="99"/>
    <w:rsid w:val="00970C0B"/>
    <w:tblPr>
      <w:tblStyleRowBandSize w:val="1"/>
      <w:tblStyleColBandSize w:val="1"/>
      <w:tblCellMar>
        <w:top w:w="28" w:type="dxa"/>
        <w:left w:w="57" w:type="dxa"/>
        <w:bottom w:w="28" w:type="dxa"/>
        <w:right w:w="57" w:type="dxa"/>
      </w:tblCellMar>
    </w:tblPr>
    <w:tblStylePr w:type="firstRow">
      <w:rPr>
        <w:rFonts w:asciiTheme="majorHAnsi" w:hAnsiTheme="majorHAnsi"/>
        <w:b/>
        <w:color w:val="FFFFFF" w:themeColor="background1"/>
      </w:rPr>
      <w:tblPr/>
      <w:tcPr>
        <w:tcBorders>
          <w:top w:val="nil"/>
          <w:left w:val="nil"/>
          <w:bottom w:val="nil"/>
          <w:right w:val="nil"/>
          <w:insideH w:val="nil"/>
          <w:insideV w:val="single" w:sz="24" w:space="0" w:color="FFFFFF" w:themeColor="background1"/>
          <w:tl2br w:val="nil"/>
          <w:tr2bl w:val="nil"/>
        </w:tcBorders>
        <w:shd w:val="clear" w:color="auto" w:fill="6F6F6F"/>
      </w:tcPr>
    </w:tblStylePr>
    <w:tblStylePr w:type="lastRow">
      <w:tblPr/>
      <w:tcPr>
        <w:tcBorders>
          <w:top w:val="single" w:sz="24" w:space="0" w:color="FFFFFF" w:themeColor="background1"/>
          <w:left w:val="nil"/>
          <w:bottom w:val="nil"/>
          <w:right w:val="nil"/>
          <w:insideH w:val="nil"/>
          <w:insideV w:val="nil"/>
          <w:tl2br w:val="nil"/>
          <w:tr2bl w:val="nil"/>
        </w:tcBorders>
        <w:shd w:val="clear" w:color="auto" w:fill="B2B2B2"/>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single" w:sz="24" w:space="0" w:color="FFFFFF" w:themeColor="background1"/>
          <w:tl2br w:val="nil"/>
          <w:tr2bl w:val="nil"/>
        </w:tcBorders>
      </w:tcPr>
    </w:tblStylePr>
    <w:tblStylePr w:type="band1Horz">
      <w:tblPr/>
      <w:tcPr>
        <w:tcBorders>
          <w:top w:val="nil"/>
          <w:left w:val="nil"/>
          <w:bottom w:val="nil"/>
          <w:right w:val="nil"/>
          <w:insideH w:val="nil"/>
          <w:insideV w:val="single" w:sz="24" w:space="0" w:color="FFFFFF" w:themeColor="background1"/>
          <w:tl2br w:val="nil"/>
          <w:tr2bl w:val="nil"/>
        </w:tcBorders>
        <w:shd w:val="clear" w:color="auto" w:fill="EDEDED"/>
      </w:tcPr>
    </w:tblStylePr>
    <w:tblStylePr w:type="band2Horz">
      <w:tblPr/>
      <w:tcPr>
        <w:tcBorders>
          <w:top w:val="nil"/>
          <w:left w:val="nil"/>
          <w:bottom w:val="nil"/>
          <w:right w:val="nil"/>
          <w:insideH w:val="nil"/>
          <w:insideV w:val="single" w:sz="24" w:space="0" w:color="FFFFFF" w:themeColor="background1"/>
          <w:tl2br w:val="nil"/>
          <w:tr2bl w:val="nil"/>
        </w:tcBorders>
        <w:shd w:val="clear" w:color="auto" w:fill="DADADA"/>
      </w:tcPr>
    </w:tblStylePr>
  </w:style>
  <w:style w:type="numbering" w:customStyle="1" w:styleId="stlSMTReport">
    <w:name w:val="stlSMTReport"/>
    <w:basedOn w:val="Geenlijst"/>
    <w:uiPriority w:val="99"/>
    <w:rsid w:val="00970C0B"/>
    <w:pPr>
      <w:numPr>
        <w:numId w:val="3"/>
      </w:numPr>
    </w:pPr>
  </w:style>
  <w:style w:type="table" w:customStyle="1" w:styleId="stlSMTTable0">
    <w:name w:val="stlSMTTable"/>
    <w:basedOn w:val="Standaardtabel"/>
    <w:uiPriority w:val="99"/>
    <w:rsid w:val="00970C0B"/>
    <w:rPr>
      <w:rFonts w:ascii="Arial" w:hAnsi="Arial"/>
      <w:color w:val="000000" w:themeColor="text1"/>
    </w:rPr>
    <w:tblPr>
      <w:tblStyleRowBandSize w:val="1"/>
      <w:tblCellMar>
        <w:top w:w="57" w:type="dxa"/>
        <w:bottom w:w="57" w:type="dxa"/>
      </w:tblCellMar>
    </w:tblPr>
    <w:tblStylePr w:type="firstRow">
      <w:pPr>
        <w:wordWrap/>
        <w:spacing w:afterLines="0" w:after="0" w:afterAutospacing="0" w:line="240" w:lineRule="atLeast"/>
        <w:contextualSpacing w:val="0"/>
        <w:jc w:val="left"/>
      </w:pPr>
      <w:rPr>
        <w:rFonts w:asciiTheme="minorHAnsi" w:hAnsiTheme="minorHAnsi"/>
        <w:b w:val="0"/>
        <w:color w:val="FFFFFF" w:themeColor="background1"/>
        <w:sz w:val="20"/>
      </w:rPr>
      <w:tblPr/>
      <w:tcPr>
        <w:tcBorders>
          <w:top w:val="nil"/>
          <w:left w:val="nil"/>
          <w:bottom w:val="nil"/>
          <w:right w:val="nil"/>
          <w:insideH w:val="nil"/>
          <w:insideV w:val="single" w:sz="24" w:space="0" w:color="FFFFFF" w:themeColor="background1"/>
          <w:tl2br w:val="nil"/>
          <w:tr2bl w:val="nil"/>
        </w:tcBorders>
        <w:shd w:val="clear" w:color="auto" w:fill="4472C4" w:themeFill="accent1"/>
        <w:vAlign w:val="center"/>
      </w:tcPr>
    </w:tblStylePr>
    <w:tblStylePr w:type="firstCol">
      <w:rPr>
        <w:b/>
      </w:rPr>
    </w:tblStylePr>
    <w:tblStylePr w:type="band1Horz">
      <w:pPr>
        <w:wordWrap/>
        <w:spacing w:line="232" w:lineRule="atLeast"/>
      </w:pPr>
      <w:rPr>
        <w:rFonts w:asciiTheme="minorHAnsi" w:hAnsiTheme="minorHAnsi"/>
        <w:sz w:val="12"/>
      </w:rPr>
      <w:tblPr/>
      <w:tcPr>
        <w:tcBorders>
          <w:top w:val="nil"/>
          <w:left w:val="nil"/>
          <w:bottom w:val="nil"/>
          <w:right w:val="nil"/>
          <w:insideH w:val="nil"/>
          <w:insideV w:val="single" w:sz="24" w:space="0" w:color="FFFFFF" w:themeColor="background1"/>
          <w:tl2br w:val="nil"/>
          <w:tr2bl w:val="nil"/>
        </w:tcBorders>
        <w:shd w:val="clear" w:color="auto" w:fill="5B9BD5" w:themeFill="accent5"/>
      </w:tcPr>
    </w:tblStylePr>
    <w:tblStylePr w:type="band2Horz">
      <w:pPr>
        <w:wordWrap/>
        <w:spacing w:line="232" w:lineRule="atLeast"/>
      </w:pPr>
      <w:rPr>
        <w:rFonts w:asciiTheme="minorHAnsi" w:hAnsiTheme="minorHAnsi"/>
        <w:sz w:val="12"/>
      </w:rPr>
      <w:tblPr/>
      <w:tcPr>
        <w:tcBorders>
          <w:top w:val="nil"/>
          <w:left w:val="nil"/>
          <w:bottom w:val="nil"/>
          <w:right w:val="nil"/>
          <w:insideH w:val="nil"/>
          <w:insideV w:val="single" w:sz="24" w:space="0" w:color="FFFFFF" w:themeColor="background1"/>
          <w:tl2br w:val="nil"/>
          <w:tr2bl w:val="nil"/>
        </w:tcBorders>
        <w:shd w:val="clear" w:color="auto" w:fill="E2EFD9" w:themeFill="accent6" w:themeFillTint="33"/>
      </w:tcPr>
    </w:tblStylePr>
  </w:style>
  <w:style w:type="table" w:customStyle="1" w:styleId="stlTest">
    <w:name w:val="stlTest"/>
    <w:basedOn w:val="Standaardtabel"/>
    <w:uiPriority w:val="99"/>
    <w:rsid w:val="00970C0B"/>
    <w:rPr>
      <w:rFonts w:ascii="Arial" w:hAnsi="Arial"/>
      <w:color w:val="000000" w:themeColor="text1"/>
    </w:rPr>
    <w:tblPr/>
    <w:tblStylePr w:type="firstCol">
      <w:rPr>
        <w:sz w:val="60"/>
      </w:rPr>
    </w:tblStylePr>
  </w:style>
  <w:style w:type="character" w:customStyle="1" w:styleId="Kop1Char">
    <w:name w:val="Kop 1 Char"/>
    <w:basedOn w:val="Standaardalinea-lettertype"/>
    <w:link w:val="Kop1"/>
    <w:uiPriority w:val="9"/>
    <w:rsid w:val="008776E0"/>
    <w:rPr>
      <w:rFonts w:ascii="Calibri" w:eastAsiaTheme="majorEastAsia" w:hAnsi="Calibri" w:cstheme="majorBidi"/>
      <w:b/>
      <w:sz w:val="22"/>
      <w:szCs w:val="32"/>
    </w:rPr>
  </w:style>
  <w:style w:type="character" w:customStyle="1" w:styleId="Kop2Char">
    <w:name w:val="Kop 2 Char"/>
    <w:basedOn w:val="Standaardalinea-lettertype"/>
    <w:link w:val="Kop2"/>
    <w:uiPriority w:val="9"/>
    <w:rsid w:val="00970C0B"/>
    <w:rPr>
      <w:rFonts w:asciiTheme="majorHAnsi" w:eastAsiaTheme="majorEastAsia" w:hAnsiTheme="majorHAnsi" w:cstheme="majorBidi"/>
      <w:color w:val="4472C4" w:themeColor="accent1"/>
      <w:sz w:val="32"/>
      <w:szCs w:val="26"/>
    </w:rPr>
  </w:style>
  <w:style w:type="character" w:customStyle="1" w:styleId="Kop3Char">
    <w:name w:val="Kop 3 Char"/>
    <w:basedOn w:val="Standaardalinea-lettertype"/>
    <w:link w:val="Kop3"/>
    <w:uiPriority w:val="9"/>
    <w:rsid w:val="00970C0B"/>
    <w:rPr>
      <w:rFonts w:asciiTheme="majorHAnsi" w:eastAsiaTheme="majorEastAsia" w:hAnsiTheme="majorHAnsi" w:cstheme="majorBidi"/>
      <w:color w:val="4472C4" w:themeColor="accent1"/>
      <w:sz w:val="28"/>
      <w:szCs w:val="24"/>
    </w:rPr>
  </w:style>
  <w:style w:type="character" w:customStyle="1" w:styleId="Kop4Char">
    <w:name w:val="Kop 4 Char"/>
    <w:basedOn w:val="Standaardalinea-lettertype"/>
    <w:link w:val="Kop4"/>
    <w:uiPriority w:val="9"/>
    <w:rsid w:val="00970C0B"/>
    <w:rPr>
      <w:rFonts w:asciiTheme="majorHAnsi" w:eastAsiaTheme="majorEastAsia" w:hAnsiTheme="majorHAnsi" w:cstheme="majorBidi"/>
      <w:iCs/>
      <w:color w:val="4472C4" w:themeColor="accent1"/>
      <w:sz w:val="24"/>
      <w:szCs w:val="20"/>
    </w:rPr>
  </w:style>
  <w:style w:type="character" w:customStyle="1" w:styleId="Kop5Char">
    <w:name w:val="Kop 5 Char"/>
    <w:basedOn w:val="Standaardalinea-lettertype"/>
    <w:link w:val="Kop5"/>
    <w:uiPriority w:val="9"/>
    <w:rsid w:val="00970C0B"/>
    <w:rPr>
      <w:rFonts w:asciiTheme="majorHAnsi" w:eastAsiaTheme="majorEastAsia" w:hAnsiTheme="majorHAnsi" w:cstheme="majorBidi"/>
      <w:color w:val="2F5496" w:themeColor="accent1" w:themeShade="BF"/>
      <w:sz w:val="20"/>
      <w:szCs w:val="20"/>
    </w:rPr>
  </w:style>
  <w:style w:type="paragraph" w:styleId="Koptekst">
    <w:name w:val="header"/>
    <w:basedOn w:val="Standaard"/>
    <w:link w:val="KoptekstChar"/>
    <w:uiPriority w:val="99"/>
    <w:unhideWhenUsed/>
    <w:rsid w:val="00970C0B"/>
    <w:pPr>
      <w:tabs>
        <w:tab w:val="center" w:pos="4536"/>
        <w:tab w:val="right" w:pos="9072"/>
      </w:tabs>
    </w:pPr>
  </w:style>
  <w:style w:type="character" w:customStyle="1" w:styleId="KoptekstChar">
    <w:name w:val="Koptekst Char"/>
    <w:basedOn w:val="Standaardalinea-lettertype"/>
    <w:link w:val="Koptekst"/>
    <w:uiPriority w:val="99"/>
    <w:rsid w:val="00970C0B"/>
    <w:rPr>
      <w:rFonts w:asciiTheme="majorHAnsi" w:hAnsiTheme="majorHAnsi"/>
      <w:sz w:val="20"/>
      <w:szCs w:val="20"/>
    </w:rPr>
  </w:style>
  <w:style w:type="character" w:styleId="Hyperlink">
    <w:name w:val="Hyperlink"/>
    <w:basedOn w:val="Standaardalinea-lettertype"/>
    <w:uiPriority w:val="99"/>
    <w:unhideWhenUsed/>
    <w:rsid w:val="00970C0B"/>
    <w:rPr>
      <w:color w:val="0563C1" w:themeColor="hyperlink"/>
      <w:u w:val="single"/>
    </w:rPr>
  </w:style>
  <w:style w:type="paragraph" w:styleId="Ballontekst">
    <w:name w:val="Balloon Text"/>
    <w:basedOn w:val="Standaard"/>
    <w:link w:val="BallontekstChar"/>
    <w:uiPriority w:val="99"/>
    <w:semiHidden/>
    <w:unhideWhenUsed/>
    <w:rsid w:val="00970C0B"/>
    <w:rPr>
      <w:rFonts w:ascii="Segoe UI" w:hAnsi="Segoe UI" w:cs="Segoe UI"/>
      <w:szCs w:val="18"/>
    </w:rPr>
  </w:style>
  <w:style w:type="character" w:customStyle="1" w:styleId="BallontekstChar">
    <w:name w:val="Ballontekst Char"/>
    <w:basedOn w:val="Standaardalinea-lettertype"/>
    <w:link w:val="Ballontekst"/>
    <w:uiPriority w:val="99"/>
    <w:semiHidden/>
    <w:rsid w:val="00970C0B"/>
    <w:rPr>
      <w:rFonts w:ascii="Segoe UI" w:hAnsi="Segoe UI" w:cs="Segoe UI"/>
      <w:sz w:val="18"/>
      <w:szCs w:val="18"/>
    </w:rPr>
  </w:style>
  <w:style w:type="table" w:styleId="Tabelraster">
    <w:name w:val="Table Grid"/>
    <w:basedOn w:val="Standaardtabel"/>
    <w:uiPriority w:val="39"/>
    <w:rsid w:val="0097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70C0B"/>
    <w:rPr>
      <w:color w:val="808080"/>
    </w:rPr>
  </w:style>
  <w:style w:type="paragraph" w:styleId="Lijstalinea">
    <w:name w:val="List Paragraph"/>
    <w:basedOn w:val="Standaard"/>
    <w:uiPriority w:val="34"/>
    <w:qFormat/>
    <w:rsid w:val="00970C0B"/>
    <w:pPr>
      <w:ind w:left="720"/>
    </w:pPr>
    <w:rPr>
      <w:rFonts w:ascii="Arial" w:hAnsi="Arial"/>
      <w:color w:val="000000" w:themeColor="text1"/>
    </w:rPr>
  </w:style>
  <w:style w:type="table" w:styleId="Rastertabel1licht">
    <w:name w:val="Grid Table 1 Light"/>
    <w:basedOn w:val="Standaardtabel"/>
    <w:uiPriority w:val="46"/>
    <w:rsid w:val="00970C0B"/>
    <w:rPr>
      <w:rFonts w:ascii="Arial" w:hAnsi="Arial"/>
      <w:color w:val="000000" w:themeColor="text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jsttabel3-Accent4">
    <w:name w:val="List Table 3 Accent 4"/>
    <w:basedOn w:val="Standaardtabel"/>
    <w:uiPriority w:val="48"/>
    <w:rsid w:val="00970C0B"/>
    <w:rPr>
      <w:rFonts w:ascii="Arial" w:hAnsi="Arial"/>
      <w:color w:val="000000" w:themeColor="text1"/>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Vermelding1">
    <w:name w:val="Vermelding1"/>
    <w:basedOn w:val="Standaardalinea-lettertype"/>
    <w:uiPriority w:val="99"/>
    <w:semiHidden/>
    <w:unhideWhenUsed/>
    <w:rsid w:val="00970C0B"/>
    <w:rPr>
      <w:color w:val="2B579A"/>
      <w:shd w:val="clear" w:color="auto" w:fill="E6E6E6"/>
    </w:rPr>
  </w:style>
  <w:style w:type="paragraph" w:customStyle="1" w:styleId="stlDocumentNaam">
    <w:name w:val="stlDocumentNaam"/>
    <w:basedOn w:val="Standaard"/>
    <w:qFormat/>
    <w:rsid w:val="00F7016F"/>
    <w:pPr>
      <w:spacing w:line="480" w:lineRule="atLeast"/>
    </w:pPr>
    <w:rPr>
      <w:b/>
      <w:sz w:val="38"/>
    </w:rPr>
  </w:style>
  <w:style w:type="paragraph" w:customStyle="1" w:styleId="stlAgendaPunt">
    <w:name w:val="stlAgendaPunt"/>
    <w:basedOn w:val="Standaard"/>
    <w:qFormat/>
    <w:rsid w:val="008776E0"/>
    <w:pPr>
      <w:ind w:left="284"/>
    </w:pPr>
  </w:style>
  <w:style w:type="numbering" w:customStyle="1" w:styleId="stlLetters">
    <w:name w:val="stlLetters"/>
    <w:basedOn w:val="Geenlijst"/>
    <w:uiPriority w:val="99"/>
    <w:rsid w:val="008776E0"/>
    <w:pPr>
      <w:numPr>
        <w:numId w:val="17"/>
      </w:numPr>
    </w:pPr>
  </w:style>
  <w:style w:type="table" w:customStyle="1" w:styleId="stlTabelCoteq">
    <w:name w:val="stlTabelCoteq"/>
    <w:basedOn w:val="Standaardtabel"/>
    <w:uiPriority w:val="99"/>
    <w:rsid w:val="000D1377"/>
    <w:rPr>
      <w:sz w:val="18"/>
    </w:rPr>
    <w:tblPr>
      <w:tblStyleRowBandSize w:val="1"/>
      <w:tblStyleColBandSize w:val="1"/>
      <w:tblCellMar>
        <w:left w:w="0" w:type="dxa"/>
        <w:right w:w="0" w:type="dxa"/>
      </w:tblCellMar>
    </w:tblPr>
    <w:tblStylePr w:type="firstRow">
      <w:rPr>
        <w:b/>
      </w:rPr>
      <w:tblPr/>
      <w:tcPr>
        <w:tcBorders>
          <w:top w:val="nil"/>
          <w:left w:val="nil"/>
          <w:bottom w:val="single" w:sz="4" w:space="0" w:color="706F6E"/>
          <w:right w:val="nil"/>
          <w:insideH w:val="nil"/>
          <w:insideV w:val="single" w:sz="48" w:space="0" w:color="FFFFFF"/>
          <w:tl2br w:val="nil"/>
          <w:tr2bl w:val="nil"/>
        </w:tcBorders>
      </w:tcPr>
    </w:tblStylePr>
    <w:tblStylePr w:type="lastRow">
      <w:tblPr/>
      <w:tcPr>
        <w:tcBorders>
          <w:top w:val="nil"/>
          <w:left w:val="nil"/>
          <w:bottom w:val="nil"/>
          <w:right w:val="nil"/>
          <w:insideH w:val="nil"/>
          <w:insideV w:val="single" w:sz="48" w:space="0" w:color="FFFFFF"/>
          <w:tl2br w:val="nil"/>
          <w:tr2bl w:val="nil"/>
        </w:tcBorders>
      </w:tcPr>
    </w:tblStylePr>
    <w:tblStylePr w:type="band1Horz">
      <w:tblPr/>
      <w:tcPr>
        <w:tcBorders>
          <w:top w:val="single" w:sz="2" w:space="0" w:color="706F6E"/>
          <w:left w:val="nil"/>
          <w:bottom w:val="single" w:sz="2" w:space="0" w:color="706F6E"/>
          <w:right w:val="nil"/>
          <w:insideH w:val="nil"/>
          <w:insideV w:val="single" w:sz="48" w:space="0" w:color="FFFFFF"/>
          <w:tl2br w:val="nil"/>
          <w:tr2bl w:val="nil"/>
        </w:tcBorders>
      </w:tcPr>
    </w:tblStylePr>
    <w:tblStylePr w:type="band2Horz">
      <w:tblPr/>
      <w:tcPr>
        <w:tcBorders>
          <w:top w:val="single" w:sz="2" w:space="0" w:color="706F6E"/>
          <w:left w:val="nil"/>
          <w:bottom w:val="single" w:sz="2" w:space="0" w:color="706F6E"/>
          <w:right w:val="nil"/>
          <w:insideH w:val="nil"/>
          <w:insideV w:val="single" w:sz="48" w:space="0" w:color="FFFFFF"/>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Formulieren%202002\Coteq\Coteq_Verslag.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35C0536FFA3419F9A74BFF8CD050A" ma:contentTypeVersion="10" ma:contentTypeDescription="Een nieuw document maken." ma:contentTypeScope="" ma:versionID="6b352c66f6a1dfa1836d7e3d7c32d491">
  <xsd:schema xmlns:xsd="http://www.w3.org/2001/XMLSchema" xmlns:xs="http://www.w3.org/2001/XMLSchema" xmlns:p="http://schemas.microsoft.com/office/2006/metadata/properties" xmlns:ns2="c10f8234-156f-4efb-9390-165e93c0de56" xmlns:ns3="7e33f681-4a60-4185-b955-d8affd84ac9a" targetNamespace="http://schemas.microsoft.com/office/2006/metadata/properties" ma:root="true" ma:fieldsID="dd3c680bd01186f7b70f44c8b8898118" ns2:_="" ns3:_="">
    <xsd:import namespace="c10f8234-156f-4efb-9390-165e93c0de56"/>
    <xsd:import namespace="7e33f681-4a60-4185-b955-d8affd84ac9a"/>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f8234-156f-4efb-9390-165e93c0de5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0d0ee82-cb44-4152-afc9-4d4f5d1cda7e}" ma:internalName="TaxCatchAll" ma:showField="CatchAllData" ma:web="c10f8234-156f-4efb-9390-165e93c0de5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0d0ee82-cb44-4152-afc9-4d4f5d1cda7e}" ma:internalName="TaxCatchAllLabel" ma:readOnly="true" ma:showField="CatchAllDataLabel" ma:web="c10f8234-156f-4efb-9390-165e93c0de5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3f681-4a60-4185-b955-d8affd84ac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10f8234-156f-4efb-9390-165e93c0de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711E0-F4B0-4235-B774-B4D49FBA4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f8234-156f-4efb-9390-165e93c0de56"/>
    <ds:schemaRef ds:uri="7e33f681-4a60-4185-b955-d8affd84a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ADAAD-4904-4849-B66A-97B1C40E58BD}">
  <ds:schemaRefs>
    <ds:schemaRef ds:uri="http://schemas.microsoft.com/sharepoint/v3/contenttype/forms"/>
  </ds:schemaRefs>
</ds:datastoreItem>
</file>

<file path=customXml/itemProps3.xml><?xml version="1.0" encoding="utf-8"?>
<ds:datastoreItem xmlns:ds="http://schemas.openxmlformats.org/officeDocument/2006/customXml" ds:itemID="{4811F776-E55C-4D66-9C29-66EE8A8FDB8B}">
  <ds:schemaRefs>
    <ds:schemaRef ds:uri="http://schemas.microsoft.com/office/infopath/2007/PartnerControls"/>
    <ds:schemaRef ds:uri="http://www.w3.org/XML/1998/namespace"/>
    <ds:schemaRef ds:uri="c10f8234-156f-4efb-9390-165e93c0de56"/>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7e33f681-4a60-4185-b955-d8affd84ac9a"/>
    <ds:schemaRef ds:uri="http://purl.org/dc/dcmitype/"/>
    <ds:schemaRef ds:uri="http://purl.org/dc/terms/"/>
  </ds:schemaRefs>
</ds:datastoreItem>
</file>

<file path=customXml/itemProps4.xml><?xml version="1.0" encoding="utf-8"?>
<ds:datastoreItem xmlns:ds="http://schemas.openxmlformats.org/officeDocument/2006/customXml" ds:itemID="{1BBDCC8D-F2C3-4E4E-817E-C959DA1A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Coteq_Verslag</Template>
  <TotalTime>12</TotalTime>
  <Pages>3</Pages>
  <Words>755</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Besprekingsverslag</vt:lpstr>
    </vt:vector>
  </TitlesOfParts>
  <Company>Coteq Netbeheer</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Besprekingsverslag</dc:title>
  <dc:subject>Template voor een besprekingsverslag</dc:subject>
  <dc:creator>mterwind</dc:creator>
  <cp:keywords/>
  <dc:description>v1.0.0</dc:description>
  <cp:lastModifiedBy>Myrna Fokke-Bril</cp:lastModifiedBy>
  <cp:revision>17</cp:revision>
  <cp:lastPrinted>2017-07-19T14:03:00Z</cp:lastPrinted>
  <dcterms:created xsi:type="dcterms:W3CDTF">2020-12-11T14:28:00Z</dcterms:created>
  <dcterms:modified xsi:type="dcterms:W3CDTF">2022-11-11T15:46:00Z</dcterms:modified>
  <cp:category>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0x010100F2035C0536FFA3419F9A74BFF8CD050A</vt:lpwstr>
  </property>
  <property fmtid="{D5CDD505-2E9C-101B-9397-08002B2CF9AE}" pid="3" name="Documentsoort">
    <vt:lpwstr/>
  </property>
</Properties>
</file>